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54580" w14:textId="77777777" w:rsidR="00561022" w:rsidRPr="00A60E05" w:rsidRDefault="00561022" w:rsidP="00396ECF">
      <w:pPr>
        <w:pStyle w:val="Title"/>
        <w:tabs>
          <w:tab w:val="center" w:pos="4320"/>
        </w:tabs>
        <w:spacing w:line="276" w:lineRule="auto"/>
        <w:rPr>
          <w:rFonts w:ascii="Cambria" w:hAnsi="Cambria"/>
          <w:color w:val="000000" w:themeColor="text1"/>
          <w:sz w:val="32"/>
          <w:szCs w:val="32"/>
        </w:rPr>
      </w:pPr>
      <w:r w:rsidRPr="00A60E05">
        <w:rPr>
          <w:rFonts w:ascii="Cambria" w:hAnsi="Cambria"/>
          <w:noProof/>
          <w:color w:val="000000" w:themeColor="text1"/>
          <w:lang w:val="en-GB" w:eastAsia="en-GB"/>
        </w:rPr>
        <w:drawing>
          <wp:anchor distT="0" distB="0" distL="114300" distR="114300" simplePos="0" relativeHeight="251661312" behindDoc="0" locked="0" layoutInCell="1" allowOverlap="1" wp14:anchorId="389C387E" wp14:editId="5C301C3A">
            <wp:simplePos x="0" y="0"/>
            <wp:positionH relativeFrom="column">
              <wp:posOffset>-829310</wp:posOffset>
            </wp:positionH>
            <wp:positionV relativeFrom="paragraph">
              <wp:posOffset>-563880</wp:posOffset>
            </wp:positionV>
            <wp:extent cx="7752080" cy="1315792"/>
            <wp:effectExtent l="0" t="0" r="0" b="5080"/>
            <wp:wrapNone/>
            <wp:docPr id="1" name="Billede 1" descr="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know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52080" cy="1315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C7F17B" w14:textId="77777777" w:rsidR="00561022" w:rsidRPr="00A60E05" w:rsidRDefault="00561022" w:rsidP="00396ECF">
      <w:pPr>
        <w:pStyle w:val="Title"/>
        <w:tabs>
          <w:tab w:val="center" w:pos="4320"/>
        </w:tabs>
        <w:spacing w:line="276" w:lineRule="auto"/>
        <w:rPr>
          <w:rFonts w:ascii="Cambria" w:hAnsi="Cambria"/>
          <w:color w:val="000000" w:themeColor="text1"/>
          <w:sz w:val="32"/>
          <w:szCs w:val="32"/>
        </w:rPr>
      </w:pPr>
    </w:p>
    <w:p w14:paraId="6287B514" w14:textId="77777777" w:rsidR="00561022" w:rsidRPr="00A60E05" w:rsidRDefault="00561022" w:rsidP="00396ECF">
      <w:pPr>
        <w:spacing w:after="160" w:line="276" w:lineRule="auto"/>
        <w:contextualSpacing/>
        <w:jc w:val="both"/>
        <w:rPr>
          <w:rFonts w:ascii="Cambria" w:hAnsi="Cambria" w:cs="Calibri"/>
          <w:color w:val="000000" w:themeColor="text1"/>
          <w:sz w:val="28"/>
          <w:szCs w:val="28"/>
        </w:rPr>
      </w:pPr>
    </w:p>
    <w:tbl>
      <w:tblPr>
        <w:tblStyle w:val="TableGrid"/>
        <w:tblW w:w="0" w:type="auto"/>
        <w:tblInd w:w="-57"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2"/>
      </w:tblGrid>
      <w:tr w:rsidR="00561022" w:rsidRPr="00A60E05" w14:paraId="6300066D" w14:textId="77777777" w:rsidTr="00396ECF">
        <w:trPr>
          <w:trHeight w:val="144"/>
        </w:trPr>
        <w:tc>
          <w:tcPr>
            <w:tcW w:w="9792" w:type="dxa"/>
          </w:tcPr>
          <w:p w14:paraId="0B3A9F5A" w14:textId="77777777" w:rsidR="00561022" w:rsidRPr="00A60E05" w:rsidRDefault="00561022" w:rsidP="00396ECF">
            <w:pPr>
              <w:spacing w:line="276" w:lineRule="auto"/>
              <w:ind w:left="0"/>
              <w:contextualSpacing/>
              <w:jc w:val="both"/>
              <w:rPr>
                <w:rFonts w:ascii="Cambria" w:eastAsia="Times New Roman" w:hAnsi="Cambria" w:cs="Times New Roman"/>
                <w:color w:val="000000" w:themeColor="text1"/>
                <w:sz w:val="12"/>
                <w:szCs w:val="12"/>
                <w:lang w:val="da-DK" w:eastAsia="da-DK"/>
              </w:rPr>
            </w:pPr>
          </w:p>
        </w:tc>
      </w:tr>
    </w:tbl>
    <w:p w14:paraId="13036F6C" w14:textId="41905D21" w:rsidR="00561022" w:rsidRDefault="00803982" w:rsidP="001A4749">
      <w:pPr>
        <w:spacing w:after="160" w:line="276" w:lineRule="auto"/>
        <w:contextualSpacing/>
        <w:jc w:val="both"/>
        <w:rPr>
          <w:sz w:val="20"/>
          <w:szCs w:val="20"/>
        </w:rPr>
      </w:pPr>
      <w:r>
        <w:rPr>
          <w:sz w:val="20"/>
          <w:szCs w:val="20"/>
        </w:rPr>
        <w:t>Ti</w:t>
      </w:r>
      <w:r w:rsidR="009154C9">
        <w:rPr>
          <w:sz w:val="20"/>
          <w:szCs w:val="20"/>
        </w:rPr>
        <w:t>rsdag</w:t>
      </w:r>
      <w:r w:rsidR="00C07E17">
        <w:rPr>
          <w:sz w:val="20"/>
          <w:szCs w:val="20"/>
        </w:rPr>
        <w:t xml:space="preserve"> den </w:t>
      </w:r>
      <w:r>
        <w:rPr>
          <w:sz w:val="20"/>
          <w:szCs w:val="20"/>
        </w:rPr>
        <w:t>19</w:t>
      </w:r>
      <w:bookmarkStart w:id="0" w:name="_GoBack"/>
      <w:bookmarkEnd w:id="0"/>
      <w:r w:rsidR="00561022" w:rsidRPr="00561022">
        <w:rPr>
          <w:sz w:val="20"/>
          <w:szCs w:val="20"/>
        </w:rPr>
        <w:t xml:space="preserve">. </w:t>
      </w:r>
      <w:r w:rsidR="00C07E17">
        <w:rPr>
          <w:sz w:val="20"/>
          <w:szCs w:val="20"/>
        </w:rPr>
        <w:t>december</w:t>
      </w:r>
      <w:r w:rsidR="00561022" w:rsidRPr="00561022">
        <w:rPr>
          <w:sz w:val="20"/>
          <w:szCs w:val="20"/>
        </w:rPr>
        <w:t xml:space="preserve"> 2017</w:t>
      </w:r>
    </w:p>
    <w:p w14:paraId="05D64453" w14:textId="77777777" w:rsidR="00561022" w:rsidRPr="00561022" w:rsidRDefault="00561022" w:rsidP="00396ECF">
      <w:pPr>
        <w:spacing w:after="160" w:line="276" w:lineRule="auto"/>
        <w:contextualSpacing/>
        <w:rPr>
          <w:sz w:val="20"/>
          <w:szCs w:val="20"/>
        </w:rPr>
      </w:pPr>
    </w:p>
    <w:p w14:paraId="42166F3D" w14:textId="1BE8CA9F" w:rsidR="00561022" w:rsidRPr="00363B0A" w:rsidRDefault="00BE77B3" w:rsidP="007F49EA">
      <w:pPr>
        <w:spacing w:after="160" w:line="276" w:lineRule="auto"/>
        <w:contextualSpacing/>
        <w:jc w:val="both"/>
        <w:rPr>
          <w:b/>
          <w:sz w:val="32"/>
          <w:szCs w:val="32"/>
        </w:rPr>
      </w:pPr>
      <w:r>
        <w:rPr>
          <w:b/>
          <w:sz w:val="32"/>
          <w:szCs w:val="32"/>
        </w:rPr>
        <w:t xml:space="preserve">Arbejdernes Landsbank </w:t>
      </w:r>
      <w:r w:rsidR="009C53B5">
        <w:rPr>
          <w:b/>
          <w:sz w:val="32"/>
          <w:szCs w:val="32"/>
        </w:rPr>
        <w:t>bliv</w:t>
      </w:r>
      <w:r>
        <w:rPr>
          <w:b/>
          <w:sz w:val="32"/>
          <w:szCs w:val="32"/>
        </w:rPr>
        <w:t>er ny hovedsponsor for Fredericia Teater</w:t>
      </w:r>
    </w:p>
    <w:p w14:paraId="78457136" w14:textId="629205A7" w:rsidR="00BE77B3" w:rsidRDefault="00BE77B3" w:rsidP="009E21D3">
      <w:pPr>
        <w:spacing w:after="160" w:line="360" w:lineRule="auto"/>
        <w:contextualSpacing/>
        <w:jc w:val="both"/>
        <w:rPr>
          <w:b/>
          <w:i/>
        </w:rPr>
      </w:pPr>
      <w:r>
        <w:rPr>
          <w:b/>
          <w:i/>
        </w:rPr>
        <w:t>Fredericia Teater kan i dag præsentere Arbejdernes L</w:t>
      </w:r>
      <w:r w:rsidR="00323558">
        <w:rPr>
          <w:b/>
          <w:i/>
        </w:rPr>
        <w:t>andsbank som ny hovedsponsor</w:t>
      </w:r>
      <w:r>
        <w:rPr>
          <w:b/>
          <w:i/>
        </w:rPr>
        <w:t>. Aftalen</w:t>
      </w:r>
      <w:r w:rsidR="004635B3">
        <w:rPr>
          <w:b/>
          <w:i/>
        </w:rPr>
        <w:t xml:space="preserve"> med </w:t>
      </w:r>
      <w:r w:rsidR="00642BA6">
        <w:rPr>
          <w:b/>
          <w:i/>
        </w:rPr>
        <w:t>danskernes</w:t>
      </w:r>
      <w:r w:rsidR="004635B3">
        <w:rPr>
          <w:b/>
          <w:i/>
        </w:rPr>
        <w:t xml:space="preserve"> </w:t>
      </w:r>
      <w:r w:rsidR="00642BA6">
        <w:rPr>
          <w:b/>
          <w:i/>
        </w:rPr>
        <w:t>foretrukne</w:t>
      </w:r>
      <w:r w:rsidR="004635B3">
        <w:rPr>
          <w:b/>
          <w:i/>
        </w:rPr>
        <w:t xml:space="preserve"> bank</w:t>
      </w:r>
      <w:r>
        <w:rPr>
          <w:b/>
          <w:i/>
        </w:rPr>
        <w:t xml:space="preserve"> løber </w:t>
      </w:r>
      <w:r w:rsidR="009154C9">
        <w:rPr>
          <w:b/>
          <w:i/>
        </w:rPr>
        <w:t>i tre år</w:t>
      </w:r>
      <w:r w:rsidR="004635B3">
        <w:rPr>
          <w:b/>
          <w:i/>
        </w:rPr>
        <w:t xml:space="preserve"> og vil give Fredericia Teater endnu et skub i retning af </w:t>
      </w:r>
      <w:r w:rsidR="00074BCB">
        <w:rPr>
          <w:b/>
          <w:i/>
        </w:rPr>
        <w:t xml:space="preserve">at udleve </w:t>
      </w:r>
      <w:r w:rsidR="00D63293">
        <w:rPr>
          <w:b/>
          <w:i/>
        </w:rPr>
        <w:t>ambitionen</w:t>
      </w:r>
      <w:r w:rsidR="004635B3">
        <w:rPr>
          <w:b/>
          <w:i/>
        </w:rPr>
        <w:t xml:space="preserve"> om at skabe et </w:t>
      </w:r>
      <w:r w:rsidR="00D32407">
        <w:rPr>
          <w:b/>
          <w:i/>
        </w:rPr>
        <w:t xml:space="preserve">nyt, </w:t>
      </w:r>
      <w:r w:rsidR="004635B3">
        <w:rPr>
          <w:b/>
          <w:i/>
        </w:rPr>
        <w:t>topmoderne teater</w:t>
      </w:r>
      <w:r>
        <w:rPr>
          <w:b/>
          <w:i/>
        </w:rPr>
        <w:t>.</w:t>
      </w:r>
    </w:p>
    <w:p w14:paraId="2B624062" w14:textId="77777777" w:rsidR="009E21D3" w:rsidRDefault="009E21D3" w:rsidP="00396ECF">
      <w:pPr>
        <w:spacing w:after="160" w:line="276" w:lineRule="auto"/>
        <w:contextualSpacing/>
      </w:pPr>
    </w:p>
    <w:p w14:paraId="7390B133" w14:textId="17CD05A9" w:rsidR="00E464FF" w:rsidRDefault="00E51FD4" w:rsidP="00E464FF">
      <w:pPr>
        <w:spacing w:after="160" w:line="276" w:lineRule="auto"/>
        <w:contextualSpacing/>
      </w:pPr>
      <w:r>
        <w:t>Musicalelskere</w:t>
      </w:r>
      <w:r w:rsidR="00BE77B3">
        <w:t xml:space="preserve"> vil fremover kunne møde</w:t>
      </w:r>
      <w:r w:rsidR="00571D23">
        <w:t xml:space="preserve"> en ny </w:t>
      </w:r>
      <w:r w:rsidR="005708CE">
        <w:t>hoved</w:t>
      </w:r>
      <w:r w:rsidR="00571D23">
        <w:t xml:space="preserve">sponsor, når </w:t>
      </w:r>
      <w:r w:rsidR="00583B50">
        <w:t>de</w:t>
      </w:r>
      <w:r w:rsidR="00571D23">
        <w:t xml:space="preserve"> tager i teatret for at </w:t>
      </w:r>
      <w:r w:rsidR="00614057">
        <w:t>opleve</w:t>
      </w:r>
      <w:r w:rsidR="00571D23">
        <w:t xml:space="preserve"> SEEBACH, Prinsen af Egypten eller </w:t>
      </w:r>
      <w:r w:rsidR="007D4E95">
        <w:t xml:space="preserve">en af Fredericia Teaters andre store </w:t>
      </w:r>
      <w:r>
        <w:t>forestillinger</w:t>
      </w:r>
      <w:r w:rsidR="00571D23">
        <w:t xml:space="preserve">. </w:t>
      </w:r>
      <w:r w:rsidR="0027004D">
        <w:t xml:space="preserve">Fredericia Teater har nemlig indgået en </w:t>
      </w:r>
      <w:r>
        <w:t>samarbejds</w:t>
      </w:r>
      <w:r w:rsidR="0027004D">
        <w:t xml:space="preserve">aftale med Arbejdernes Landsbank, som </w:t>
      </w:r>
      <w:r w:rsidR="00C022EA">
        <w:t>gør banken til</w:t>
      </w:r>
      <w:r w:rsidR="0027004D">
        <w:t xml:space="preserve"> teatrets </w:t>
      </w:r>
      <w:r w:rsidR="00681A37">
        <w:t>hovedsponsor de næste tre</w:t>
      </w:r>
      <w:r w:rsidR="0027004D">
        <w:t xml:space="preserve"> år.</w:t>
      </w:r>
    </w:p>
    <w:p w14:paraId="16875203" w14:textId="77777777" w:rsidR="00E67A28" w:rsidRDefault="00E67A28" w:rsidP="00E464FF">
      <w:pPr>
        <w:spacing w:after="160" w:line="276" w:lineRule="auto"/>
        <w:contextualSpacing/>
      </w:pPr>
    </w:p>
    <w:p w14:paraId="6061F7C2" w14:textId="7E694E87" w:rsidR="00E67A28" w:rsidRDefault="00E51FD4" w:rsidP="00E464FF">
      <w:pPr>
        <w:spacing w:after="160" w:line="276" w:lineRule="auto"/>
        <w:contextualSpacing/>
      </w:pPr>
      <w:r>
        <w:t xml:space="preserve">Aftalen </w:t>
      </w:r>
      <w:r w:rsidR="00111D0C">
        <w:t xml:space="preserve">med danskernes foretrukne bank </w:t>
      </w:r>
      <w:r>
        <w:t xml:space="preserve">betyder, at Fredericia Teater nu kommer endnu et skridt nærmere etableringen af det </w:t>
      </w:r>
      <w:r w:rsidR="00B80D52">
        <w:t xml:space="preserve">nye, </w:t>
      </w:r>
      <w:r>
        <w:t xml:space="preserve">topmoderne teater, som </w:t>
      </w:r>
      <w:r w:rsidR="00A33BF5">
        <w:t>skal</w:t>
      </w:r>
      <w:r>
        <w:t xml:space="preserve"> til </w:t>
      </w:r>
      <w:r w:rsidR="00A33BF5">
        <w:t xml:space="preserve">for </w:t>
      </w:r>
      <w:r>
        <w:t xml:space="preserve">at gøre teatrets store </w:t>
      </w:r>
      <w:r w:rsidR="00672CCA">
        <w:t xml:space="preserve">drømme og </w:t>
      </w:r>
      <w:r>
        <w:t>ambitioner til vir</w:t>
      </w:r>
      <w:r w:rsidR="00A33BF5">
        <w:t>kelighed</w:t>
      </w:r>
      <w:r>
        <w:t>.</w:t>
      </w:r>
    </w:p>
    <w:p w14:paraId="1E571B22" w14:textId="77777777" w:rsidR="00E464FF" w:rsidRDefault="00E464FF" w:rsidP="00E464FF">
      <w:pPr>
        <w:spacing w:after="160" w:line="276" w:lineRule="auto"/>
        <w:contextualSpacing/>
      </w:pPr>
    </w:p>
    <w:p w14:paraId="029CFF9C" w14:textId="62E5AE0F" w:rsidR="00194ADF" w:rsidRDefault="00194ADF" w:rsidP="00E464FF">
      <w:pPr>
        <w:spacing w:after="160" w:line="276" w:lineRule="auto"/>
        <w:contextualSpacing/>
      </w:pPr>
      <w:r>
        <w:t xml:space="preserve">Filialdirektør i Arbejdernes Landsbank Fredericia, Maiken Bang Madsen Sørensen, </w:t>
      </w:r>
      <w:r w:rsidR="00A3393B">
        <w:t>glæder sig til samarbejdet</w:t>
      </w:r>
      <w:r>
        <w:t>:</w:t>
      </w:r>
    </w:p>
    <w:p w14:paraId="54F80757" w14:textId="76A6D79D" w:rsidR="00194ADF" w:rsidRDefault="00194ADF" w:rsidP="00E464FF">
      <w:pPr>
        <w:spacing w:after="160" w:line="276" w:lineRule="auto"/>
        <w:contextualSpacing/>
      </w:pPr>
      <w:r>
        <w:t xml:space="preserve">”I Arbejdernes Landsbank bakker vi op om det lokale kulturliv, og vi er meget stolte over </w:t>
      </w:r>
      <w:r w:rsidR="00A3393B">
        <w:t>samarbejdet</w:t>
      </w:r>
      <w:r>
        <w:t xml:space="preserve"> med et kulturelt fyrtårn som Fredericia Teater, der i den grad har leveret store, kulturelle oplevelser til alle danskere de seneste år.</w:t>
      </w:r>
      <w:r w:rsidR="003A3CDC">
        <w:t xml:space="preserve"> </w:t>
      </w:r>
      <w:r>
        <w:t xml:space="preserve">Vi har i mange år støttet dansk film – til glæde for alle danskere – og vi glæder os til nu også at blive mere synlige på </w:t>
      </w:r>
      <w:r w:rsidR="004436EA">
        <w:t>’</w:t>
      </w:r>
      <w:r w:rsidRPr="00194ADF">
        <w:t>de skrå brædder</w:t>
      </w:r>
      <w:r w:rsidR="004436EA">
        <w:t>’</w:t>
      </w:r>
      <w:r>
        <w:t>. Sponsoratet kommer naturligvis også vores kunder til gode, ikke kun her i Fredericia</w:t>
      </w:r>
      <w:r w:rsidR="0060517F">
        <w:t>,</w:t>
      </w:r>
      <w:r>
        <w:t xml:space="preserve"> men i hele regionen, og vi ser frem til mange gode oplevelser i teateret.”</w:t>
      </w:r>
    </w:p>
    <w:p w14:paraId="71F5ED49" w14:textId="77777777" w:rsidR="00194ADF" w:rsidRDefault="00194ADF" w:rsidP="00E464FF">
      <w:pPr>
        <w:spacing w:after="160" w:line="276" w:lineRule="auto"/>
        <w:contextualSpacing/>
      </w:pPr>
    </w:p>
    <w:p w14:paraId="0EB8985C" w14:textId="5A01159C" w:rsidR="00E464FF" w:rsidRDefault="00E464FF" w:rsidP="00E464FF">
      <w:pPr>
        <w:spacing w:after="160" w:line="276" w:lineRule="auto"/>
        <w:contextualSpacing/>
      </w:pPr>
      <w:r>
        <w:t>Branding</w:t>
      </w:r>
      <w:r w:rsidR="0060517F">
        <w:t>- og kommunikations</w:t>
      </w:r>
      <w:r>
        <w:t>direktør i Arbejdernes Landsbank, Peter Froulund, udtaler:</w:t>
      </w:r>
    </w:p>
    <w:p w14:paraId="5EEE4A92" w14:textId="79AA88FC" w:rsidR="00F82F6B" w:rsidRDefault="00194ADF" w:rsidP="00E464FF">
      <w:pPr>
        <w:spacing w:after="160" w:line="276" w:lineRule="auto"/>
        <w:contextualSpacing/>
      </w:pPr>
      <w:r>
        <w:t>”Arbejdernes Landsbank har</w:t>
      </w:r>
      <w:r w:rsidR="0060517F">
        <w:t xml:space="preserve"> en</w:t>
      </w:r>
      <w:r>
        <w:t xml:space="preserve"> lang tradition for og erfaring med sponsorater, og vi glæder os til at være med på den succesfulde rejse, Fredericia Teater er på i disse år. Vores mål er at give mange gode oplevelser til borgerne i regionen og dermed øge kendskabet til vores bank og det, vi står for.”</w:t>
      </w:r>
    </w:p>
    <w:p w14:paraId="750A1655" w14:textId="77777777" w:rsidR="00F330CA" w:rsidRDefault="00F330CA" w:rsidP="00E464FF">
      <w:pPr>
        <w:spacing w:after="160" w:line="276" w:lineRule="auto"/>
        <w:contextualSpacing/>
      </w:pPr>
    </w:p>
    <w:p w14:paraId="1F079E16" w14:textId="313DDDAD" w:rsidR="00F330CA" w:rsidRDefault="00F330CA" w:rsidP="00E464FF">
      <w:pPr>
        <w:spacing w:after="160" w:line="276" w:lineRule="auto"/>
        <w:contextualSpacing/>
      </w:pPr>
      <w:r>
        <w:t>På Fredericia Teater ser teaterchef Søren Møller også frem til det kommende samarbejde, som kan hjælpe teatret videre i sin rivende udvikling:</w:t>
      </w:r>
    </w:p>
    <w:p w14:paraId="682BA75B" w14:textId="77777777" w:rsidR="00672CCA" w:rsidRDefault="00BF26A6" w:rsidP="00E464FF">
      <w:pPr>
        <w:spacing w:after="160" w:line="276" w:lineRule="auto"/>
        <w:contextualSpacing/>
      </w:pPr>
      <w:r>
        <w:t>”Det er en kæmpe glæde, at vi har indgået aftale om hovedsponsorat med netop Arbejdernes Landsbank. Vi er hele Danmarks musicalteater. Vi elsker at være folkelige og at putte nogle ’vitaminer’ i det be</w:t>
      </w:r>
      <w:r w:rsidR="00672CCA">
        <w:t>greb.”</w:t>
      </w:r>
    </w:p>
    <w:p w14:paraId="1B151991" w14:textId="4F6D6F8A" w:rsidR="00672CCA" w:rsidRDefault="00B96E53" w:rsidP="00E464FF">
      <w:pPr>
        <w:spacing w:after="160" w:line="276" w:lineRule="auto"/>
        <w:contextualSpacing/>
      </w:pPr>
      <w:r>
        <w:lastRenderedPageBreak/>
        <w:t xml:space="preserve">Særligt </w:t>
      </w:r>
      <w:r w:rsidR="00672CCA">
        <w:t xml:space="preserve">Fredericia Teaters egen dramatiske forhistorie gør Arbejdernes Landsbank til </w:t>
      </w:r>
      <w:proofErr w:type="gramStart"/>
      <w:r w:rsidR="00672CCA">
        <w:t xml:space="preserve">et </w:t>
      </w:r>
      <w:r w:rsidR="004436EA">
        <w:t>oplagt</w:t>
      </w:r>
      <w:r w:rsidR="00672CCA">
        <w:t xml:space="preserve"> match</w:t>
      </w:r>
      <w:proofErr w:type="gramEnd"/>
      <w:r w:rsidR="00672CCA">
        <w:t xml:space="preserve"> for teatret</w:t>
      </w:r>
      <w:r w:rsidR="00097A2E">
        <w:t xml:space="preserve">, forklarer </w:t>
      </w:r>
      <w:r w:rsidR="006914E1">
        <w:t>Søren Møller</w:t>
      </w:r>
      <w:r w:rsidR="00A2752B">
        <w:t>:</w:t>
      </w:r>
    </w:p>
    <w:p w14:paraId="6C320407" w14:textId="333F6ACB" w:rsidR="00E51FD4" w:rsidRDefault="00097A2E" w:rsidP="00E464FF">
      <w:pPr>
        <w:spacing w:after="160" w:line="276" w:lineRule="auto"/>
        <w:contextualSpacing/>
      </w:pPr>
      <w:r>
        <w:t xml:space="preserve">”Det er sikkert de færreste, der ved, at det nuværende teater i Prinsessegade </w:t>
      </w:r>
      <w:r w:rsidR="00A2752B">
        <w:t xml:space="preserve">– </w:t>
      </w:r>
      <w:r>
        <w:t xml:space="preserve">efter </w:t>
      </w:r>
      <w:r w:rsidR="00A2752B">
        <w:t xml:space="preserve">en </w:t>
      </w:r>
      <w:r>
        <w:t>altødelæggende kontrasabota</w:t>
      </w:r>
      <w:r w:rsidR="00A2752B">
        <w:t xml:space="preserve">ge i marts 1945 – </w:t>
      </w:r>
      <w:r>
        <w:t xml:space="preserve">blev opført på ny; med stor hjælp fra folket og arbejderbevægelsen. På den måde har vi også et fælles rodnet med Arbejdernes Landsbank. </w:t>
      </w:r>
      <w:r w:rsidR="00E51FD4">
        <w:t xml:space="preserve">Danskernes foretrukne bank er </w:t>
      </w:r>
      <w:r w:rsidR="00A2752B">
        <w:t xml:space="preserve">således </w:t>
      </w:r>
      <w:r w:rsidR="00E51FD4">
        <w:t xml:space="preserve">blevet hovedsponsor for et af Danmarks mest foretrukne teatre – og dét er da </w:t>
      </w:r>
      <w:proofErr w:type="gramStart"/>
      <w:r w:rsidR="00E51FD4">
        <w:t>et perfekt match</w:t>
      </w:r>
      <w:proofErr w:type="gramEnd"/>
      <w:r w:rsidR="00E51FD4">
        <w:t>!”</w:t>
      </w:r>
    </w:p>
    <w:p w14:paraId="76AFB9B9" w14:textId="77777777" w:rsidR="00F82F6B" w:rsidRDefault="00F82F6B" w:rsidP="00396ECF">
      <w:pPr>
        <w:spacing w:after="160" w:line="276" w:lineRule="auto"/>
        <w:contextualSpacing/>
      </w:pPr>
    </w:p>
    <w:p w14:paraId="4E74E39E" w14:textId="0DBB0687" w:rsidR="00F82F6B" w:rsidRDefault="00F82F6B" w:rsidP="00396ECF">
      <w:pPr>
        <w:spacing w:after="160" w:line="276" w:lineRule="auto"/>
        <w:contextualSpacing/>
        <w:rPr>
          <w:b/>
          <w:u w:val="single"/>
        </w:rPr>
      </w:pPr>
      <w:r>
        <w:rPr>
          <w:b/>
          <w:u w:val="single"/>
        </w:rPr>
        <w:t>Kontaktperson:</w:t>
      </w:r>
    </w:p>
    <w:p w14:paraId="11077410" w14:textId="5AF61D7E" w:rsidR="0010079A" w:rsidRPr="0044620E" w:rsidRDefault="00F82F6B" w:rsidP="0044620E">
      <w:pPr>
        <w:spacing w:after="160" w:line="276" w:lineRule="auto"/>
        <w:contextualSpacing/>
      </w:pPr>
      <w:r>
        <w:t xml:space="preserve">Peter Pishai Storgaard, mail: </w:t>
      </w:r>
      <w:hyperlink r:id="rId6" w:history="1">
        <w:r w:rsidRPr="00F55CDA">
          <w:rPr>
            <w:rStyle w:val="Hyperlink"/>
          </w:rPr>
          <w:t>press@fredericiateater.dk</w:t>
        </w:r>
      </w:hyperlink>
      <w:r>
        <w:t>, mobil: 28 49 33 86</w:t>
      </w:r>
    </w:p>
    <w:sectPr w:rsidR="0010079A" w:rsidRPr="0044620E" w:rsidSect="00561022">
      <w:pgSz w:w="11900" w:h="16840"/>
      <w:pgMar w:top="993"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C768E"/>
    <w:multiLevelType w:val="hybridMultilevel"/>
    <w:tmpl w:val="F61E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45029"/>
    <w:multiLevelType w:val="hybridMultilevel"/>
    <w:tmpl w:val="0E9C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661E16"/>
    <w:multiLevelType w:val="hybridMultilevel"/>
    <w:tmpl w:val="0C2EA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49CC6C17"/>
    <w:multiLevelType w:val="hybridMultilevel"/>
    <w:tmpl w:val="037C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022"/>
    <w:rsid w:val="0001705A"/>
    <w:rsid w:val="00023072"/>
    <w:rsid w:val="00064FBB"/>
    <w:rsid w:val="00074BCB"/>
    <w:rsid w:val="000777CF"/>
    <w:rsid w:val="00081790"/>
    <w:rsid w:val="00097A2E"/>
    <w:rsid w:val="000A022E"/>
    <w:rsid w:val="000C2443"/>
    <w:rsid w:val="000D398C"/>
    <w:rsid w:val="000E1484"/>
    <w:rsid w:val="000E67B4"/>
    <w:rsid w:val="0010079A"/>
    <w:rsid w:val="00100A4F"/>
    <w:rsid w:val="00111D0C"/>
    <w:rsid w:val="00124188"/>
    <w:rsid w:val="001330E7"/>
    <w:rsid w:val="00151159"/>
    <w:rsid w:val="00194ADF"/>
    <w:rsid w:val="001A4749"/>
    <w:rsid w:val="001B37D4"/>
    <w:rsid w:val="001B3D20"/>
    <w:rsid w:val="00240353"/>
    <w:rsid w:val="002419A5"/>
    <w:rsid w:val="00242E57"/>
    <w:rsid w:val="00260951"/>
    <w:rsid w:val="0027004D"/>
    <w:rsid w:val="00274D9F"/>
    <w:rsid w:val="002A3598"/>
    <w:rsid w:val="002B7670"/>
    <w:rsid w:val="002D27D9"/>
    <w:rsid w:val="002F25FB"/>
    <w:rsid w:val="00323558"/>
    <w:rsid w:val="00350DD2"/>
    <w:rsid w:val="00363B0A"/>
    <w:rsid w:val="003948AC"/>
    <w:rsid w:val="00395637"/>
    <w:rsid w:val="00396ECF"/>
    <w:rsid w:val="003A0097"/>
    <w:rsid w:val="003A3CDC"/>
    <w:rsid w:val="003B016C"/>
    <w:rsid w:val="003D4074"/>
    <w:rsid w:val="003D63AA"/>
    <w:rsid w:val="00440897"/>
    <w:rsid w:val="004436EA"/>
    <w:rsid w:val="0044620E"/>
    <w:rsid w:val="004635B3"/>
    <w:rsid w:val="00485857"/>
    <w:rsid w:val="00493F8F"/>
    <w:rsid w:val="004A64BA"/>
    <w:rsid w:val="004B594C"/>
    <w:rsid w:val="004B69ED"/>
    <w:rsid w:val="004D7F1C"/>
    <w:rsid w:val="005153ED"/>
    <w:rsid w:val="00525F4A"/>
    <w:rsid w:val="0052645B"/>
    <w:rsid w:val="00561022"/>
    <w:rsid w:val="005708CE"/>
    <w:rsid w:val="00570DEF"/>
    <w:rsid w:val="00571D23"/>
    <w:rsid w:val="005802C3"/>
    <w:rsid w:val="00583B50"/>
    <w:rsid w:val="00587A55"/>
    <w:rsid w:val="005A59F4"/>
    <w:rsid w:val="005E5036"/>
    <w:rsid w:val="005F19E6"/>
    <w:rsid w:val="00603EFB"/>
    <w:rsid w:val="0060517F"/>
    <w:rsid w:val="00614057"/>
    <w:rsid w:val="00620081"/>
    <w:rsid w:val="00623692"/>
    <w:rsid w:val="00642BA6"/>
    <w:rsid w:val="00672CCA"/>
    <w:rsid w:val="00681A37"/>
    <w:rsid w:val="006914E1"/>
    <w:rsid w:val="006A6F58"/>
    <w:rsid w:val="006A7479"/>
    <w:rsid w:val="006E09E6"/>
    <w:rsid w:val="006F22B1"/>
    <w:rsid w:val="007013EB"/>
    <w:rsid w:val="00716EAE"/>
    <w:rsid w:val="00721304"/>
    <w:rsid w:val="0073055A"/>
    <w:rsid w:val="007334CE"/>
    <w:rsid w:val="00740523"/>
    <w:rsid w:val="00740D42"/>
    <w:rsid w:val="007B26C7"/>
    <w:rsid w:val="007D4E95"/>
    <w:rsid w:val="007F49EA"/>
    <w:rsid w:val="00803982"/>
    <w:rsid w:val="00856E5D"/>
    <w:rsid w:val="0086150F"/>
    <w:rsid w:val="00891DA9"/>
    <w:rsid w:val="008C746B"/>
    <w:rsid w:val="008D6D7C"/>
    <w:rsid w:val="008E0CA4"/>
    <w:rsid w:val="008F7ABE"/>
    <w:rsid w:val="009138D7"/>
    <w:rsid w:val="009154C9"/>
    <w:rsid w:val="00963053"/>
    <w:rsid w:val="009B2760"/>
    <w:rsid w:val="009B4056"/>
    <w:rsid w:val="009C53B5"/>
    <w:rsid w:val="009C686A"/>
    <w:rsid w:val="009E21D3"/>
    <w:rsid w:val="00A16092"/>
    <w:rsid w:val="00A25BB3"/>
    <w:rsid w:val="00A2752B"/>
    <w:rsid w:val="00A3393B"/>
    <w:rsid w:val="00A33BF5"/>
    <w:rsid w:val="00A64F1B"/>
    <w:rsid w:val="00A94B49"/>
    <w:rsid w:val="00AB128E"/>
    <w:rsid w:val="00AF5D07"/>
    <w:rsid w:val="00AF6F18"/>
    <w:rsid w:val="00B23AA0"/>
    <w:rsid w:val="00B42C61"/>
    <w:rsid w:val="00B54A7D"/>
    <w:rsid w:val="00B80D52"/>
    <w:rsid w:val="00B842C5"/>
    <w:rsid w:val="00B91395"/>
    <w:rsid w:val="00B96E53"/>
    <w:rsid w:val="00BA5690"/>
    <w:rsid w:val="00BB02E6"/>
    <w:rsid w:val="00BB5D93"/>
    <w:rsid w:val="00BE6751"/>
    <w:rsid w:val="00BE77B3"/>
    <w:rsid w:val="00BF26A6"/>
    <w:rsid w:val="00BF2A78"/>
    <w:rsid w:val="00C022EA"/>
    <w:rsid w:val="00C07E17"/>
    <w:rsid w:val="00C24FAC"/>
    <w:rsid w:val="00C301F5"/>
    <w:rsid w:val="00C33BA9"/>
    <w:rsid w:val="00C423DE"/>
    <w:rsid w:val="00C91A53"/>
    <w:rsid w:val="00CA01D2"/>
    <w:rsid w:val="00CC58D7"/>
    <w:rsid w:val="00CE77FC"/>
    <w:rsid w:val="00D32407"/>
    <w:rsid w:val="00D43E3C"/>
    <w:rsid w:val="00D46212"/>
    <w:rsid w:val="00D60A87"/>
    <w:rsid w:val="00D63293"/>
    <w:rsid w:val="00DD6F20"/>
    <w:rsid w:val="00E2650B"/>
    <w:rsid w:val="00E464FF"/>
    <w:rsid w:val="00E51FD4"/>
    <w:rsid w:val="00E67A28"/>
    <w:rsid w:val="00E87DC1"/>
    <w:rsid w:val="00E9697F"/>
    <w:rsid w:val="00EA3D50"/>
    <w:rsid w:val="00F223F4"/>
    <w:rsid w:val="00F330CA"/>
    <w:rsid w:val="00F52296"/>
    <w:rsid w:val="00F82F6B"/>
    <w:rsid w:val="00FB50C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D93C6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1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1022"/>
    <w:rPr>
      <w:rFonts w:ascii="Lucida Grande" w:hAnsi="Lucida Grande" w:cs="Lucida Grande"/>
      <w:sz w:val="18"/>
      <w:szCs w:val="18"/>
    </w:rPr>
  </w:style>
  <w:style w:type="table" w:styleId="TableGrid">
    <w:name w:val="Table Grid"/>
    <w:basedOn w:val="TableNormal"/>
    <w:uiPriority w:val="39"/>
    <w:rsid w:val="00561022"/>
    <w:pPr>
      <w:spacing w:after="160"/>
      <w:ind w:left="2160"/>
    </w:pPr>
    <w:rPr>
      <w:sz w:val="20"/>
      <w:szCs w:val="20"/>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next w:val="Normal"/>
    <w:link w:val="TitleChar"/>
    <w:uiPriority w:val="10"/>
    <w:qFormat/>
    <w:rsid w:val="00561022"/>
    <w:pPr>
      <w:spacing w:after="160"/>
      <w:contextualSpacing/>
    </w:pPr>
    <w:rPr>
      <w:rFonts w:asciiTheme="majorHAnsi" w:eastAsiaTheme="majorEastAsia" w:hAnsiTheme="majorHAnsi" w:cstheme="majorBidi"/>
      <w:smallCaps/>
      <w:color w:val="17365D" w:themeColor="text2" w:themeShade="BF"/>
      <w:spacing w:val="5"/>
      <w:sz w:val="72"/>
      <w:szCs w:val="72"/>
      <w:lang w:val="en-US" w:eastAsia="ja-JP"/>
    </w:rPr>
  </w:style>
  <w:style w:type="character" w:customStyle="1" w:styleId="TitleChar">
    <w:name w:val="Title Char"/>
    <w:basedOn w:val="DefaultParagraphFont"/>
    <w:link w:val="Title"/>
    <w:uiPriority w:val="10"/>
    <w:rsid w:val="00561022"/>
    <w:rPr>
      <w:rFonts w:asciiTheme="majorHAnsi" w:eastAsiaTheme="majorEastAsia" w:hAnsiTheme="majorHAnsi" w:cstheme="majorBidi"/>
      <w:smallCaps/>
      <w:color w:val="17365D" w:themeColor="text2" w:themeShade="BF"/>
      <w:spacing w:val="5"/>
      <w:sz w:val="72"/>
      <w:szCs w:val="72"/>
      <w:lang w:val="en-US" w:eastAsia="ja-JP"/>
    </w:rPr>
  </w:style>
  <w:style w:type="character" w:styleId="Hyperlink">
    <w:name w:val="Hyperlink"/>
    <w:basedOn w:val="DefaultParagraphFont"/>
    <w:uiPriority w:val="99"/>
    <w:unhideWhenUsed/>
    <w:rsid w:val="00F82F6B"/>
    <w:rPr>
      <w:color w:val="0000FF" w:themeColor="hyperlink"/>
      <w:u w:val="single"/>
    </w:rPr>
  </w:style>
  <w:style w:type="character" w:styleId="FollowedHyperlink">
    <w:name w:val="FollowedHyperlink"/>
    <w:basedOn w:val="DefaultParagraphFont"/>
    <w:uiPriority w:val="99"/>
    <w:semiHidden/>
    <w:unhideWhenUsed/>
    <w:rsid w:val="00F82F6B"/>
    <w:rPr>
      <w:color w:val="800080" w:themeColor="followedHyperlink"/>
      <w:u w:val="single"/>
    </w:rPr>
  </w:style>
  <w:style w:type="paragraph" w:styleId="ListParagraph">
    <w:name w:val="List Paragraph"/>
    <w:basedOn w:val="Normal"/>
    <w:uiPriority w:val="34"/>
    <w:qFormat/>
    <w:rsid w:val="00891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press@fredericiateater.d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445</Words>
  <Characters>2537</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Have Kommunikation</Company>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Pishai Storgaard</dc:creator>
  <cp:keywords/>
  <dc:description/>
  <cp:lastModifiedBy>Peter Pishai Storgaard</cp:lastModifiedBy>
  <cp:revision>71</cp:revision>
  <cp:lastPrinted>2017-12-13T08:50:00Z</cp:lastPrinted>
  <dcterms:created xsi:type="dcterms:W3CDTF">2017-12-01T12:34:00Z</dcterms:created>
  <dcterms:modified xsi:type="dcterms:W3CDTF">2017-12-14T10:10:00Z</dcterms:modified>
</cp:coreProperties>
</file>