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114300</wp:posOffset>
                </wp:positionV>
                <wp:extent cx="6490660" cy="1965482"/>
                <wp:effectExtent b="0" l="0" r="0" t="0"/>
                <wp:wrapSquare wrapText="bothSides" distB="114300" distT="114300" distL="114300" distR="114300"/>
                <wp:docPr id="1" name=""/>
                <a:graphic>
                  <a:graphicData uri="http://schemas.microsoft.com/office/word/2010/wordprocessingGroup">
                    <wpg:wgp>
                      <wpg:cNvGrpSpPr/>
                      <wpg:grpSpPr>
                        <a:xfrm>
                          <a:off x="152400" y="152400"/>
                          <a:ext cx="6490660" cy="1965482"/>
                          <a:chOff x="152400" y="152400"/>
                          <a:chExt cx="9448801" cy="2851006"/>
                        </a:xfrm>
                      </wpg:grpSpPr>
                      <pic:pic>
                        <pic:nvPicPr>
                          <pic:cNvPr descr="Boiler Blau.png" id="2" name="Shape 2"/>
                          <pic:cNvPicPr preferRelativeResize="0"/>
                        </pic:nvPicPr>
                        <pic:blipFill>
                          <a:blip r:embed="rId6">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32"/>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29. März 2021</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-171449</wp:posOffset>
                </wp:positionH>
                <wp:positionV relativeFrom="paragraph">
                  <wp:posOffset>114300</wp:posOffset>
                </wp:positionV>
                <wp:extent cx="6490660" cy="196548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490660" cy="1965482"/>
                        </a:xfrm>
                        <a:prstGeom prst="rect"/>
                        <a:ln/>
                      </pic:spPr>
                    </pic:pic>
                  </a:graphicData>
                </a:graphic>
              </wp:anchor>
            </w:drawing>
          </mc:Fallback>
        </mc:AlternateContent>
      </w:r>
    </w:p>
    <w:p w:rsidR="00000000" w:rsidDel="00000000" w:rsidP="00000000" w:rsidRDefault="00000000" w:rsidRPr="00000000" w14:paraId="00000002">
      <w:pPr>
        <w:keepNext w:val="1"/>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both"/>
        <w:rPr>
          <w:color w:val="7197ca"/>
          <w:sz w:val="24"/>
          <w:szCs w:val="24"/>
        </w:rPr>
      </w:pPr>
      <w:r w:rsidDel="00000000" w:rsidR="00000000" w:rsidRPr="00000000">
        <w:rPr>
          <w:color w:val="7197ca"/>
          <w:sz w:val="24"/>
          <w:szCs w:val="24"/>
          <w:rtl w:val="0"/>
        </w:rPr>
        <w:t xml:space="preserve">Reaktion auf neue EU Verordnung</w:t>
      </w:r>
      <w:r w:rsidDel="00000000" w:rsidR="00000000" w:rsidRPr="00000000">
        <w:rPr>
          <w:rtl w:val="0"/>
        </w:rPr>
      </w:r>
    </w:p>
    <w:p w:rsidR="00000000" w:rsidDel="00000000" w:rsidP="00000000" w:rsidRDefault="00000000" w:rsidRPr="00000000" w14:paraId="00000003">
      <w:pPr>
        <w:keepNext w:val="1"/>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rPr>
          <w:b w:val="1"/>
          <w:color w:val="7197ca"/>
          <w:sz w:val="40"/>
          <w:szCs w:val="40"/>
        </w:rPr>
      </w:pPr>
      <w:r w:rsidDel="00000000" w:rsidR="00000000" w:rsidRPr="00000000">
        <w:rPr>
          <w:b w:val="1"/>
          <w:color w:val="7197ca"/>
          <w:sz w:val="40"/>
          <w:szCs w:val="40"/>
          <w:rtl w:val="0"/>
        </w:rPr>
        <w:t xml:space="preserve">Veolia Water Technologies erweitert Produktlinie zur </w:t>
      </w:r>
      <w:r w:rsidDel="00000000" w:rsidR="00000000" w:rsidRPr="00000000">
        <w:rPr>
          <w:b w:val="1"/>
          <w:color w:val="7197ca"/>
          <w:sz w:val="40"/>
          <w:szCs w:val="40"/>
          <w:rtl w:val="0"/>
        </w:rPr>
        <w:t xml:space="preserve">Desinfektion von Trink- und Schwimmbadwasser mit BerkePOOL MF14</w:t>
      </w:r>
    </w:p>
    <w:p w:rsidR="00000000" w:rsidDel="00000000" w:rsidP="00000000" w:rsidRDefault="00000000" w:rsidRPr="00000000" w14:paraId="00000004">
      <w:pPr>
        <w:keepNext w:val="1"/>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both"/>
        <w:rPr>
          <w:color w:val="000000"/>
        </w:rPr>
      </w:pPr>
      <w:r w:rsidDel="00000000" w:rsidR="00000000" w:rsidRPr="00000000">
        <w:rPr>
          <w:rtl w:val="0"/>
        </w:rPr>
      </w:r>
    </w:p>
    <w:p w:rsidR="00000000" w:rsidDel="00000000" w:rsidP="00000000" w:rsidRDefault="00000000" w:rsidRPr="00000000" w14:paraId="00000005">
      <w:pPr>
        <w:keepNext w:val="1"/>
        <w:keepLines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both"/>
        <w:rPr>
          <w:color w:val="000000"/>
        </w:rPr>
      </w:pPr>
      <w:r w:rsidDel="00000000" w:rsidR="00000000" w:rsidRPr="00000000">
        <w:rPr>
          <w:color w:val="000000"/>
        </w:rPr>
        <w:drawing>
          <wp:inline distB="114300" distT="114300" distL="114300" distR="114300">
            <wp:extent cx="2516943" cy="2466023"/>
            <wp:effectExtent b="0" l="0" r="0" t="0"/>
            <wp:docPr id="3" name="image4.jpg"/>
            <a:graphic>
              <a:graphicData uri="http://schemas.openxmlformats.org/drawingml/2006/picture">
                <pic:pic>
                  <pic:nvPicPr>
                    <pic:cNvPr id="0" name="image4.jpg"/>
                    <pic:cNvPicPr preferRelativeResize="0"/>
                  </pic:nvPicPr>
                  <pic:blipFill>
                    <a:blip r:embed="rId8"/>
                    <a:srcRect b="8836" l="0" r="0" t="26038"/>
                    <a:stretch>
                      <a:fillRect/>
                    </a:stretch>
                  </pic:blipFill>
                  <pic:spPr>
                    <a:xfrm>
                      <a:off x="0" y="0"/>
                      <a:ext cx="2516943" cy="2466023"/>
                    </a:xfrm>
                    <a:prstGeom prst="rect"/>
                    <a:ln/>
                  </pic:spPr>
                </pic:pic>
              </a:graphicData>
            </a:graphic>
          </wp:inline>
        </w:drawing>
      </w:r>
      <w:r w:rsidDel="00000000" w:rsidR="00000000" w:rsidRPr="00000000">
        <w:rPr>
          <w:color w:val="000000"/>
        </w:rPr>
        <w:drawing>
          <wp:inline distB="114300" distT="114300" distL="114300" distR="114300">
            <wp:extent cx="3678873" cy="2462592"/>
            <wp:effectExtent b="0" l="0" r="0" t="0"/>
            <wp:docPr id="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678873" cy="246259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1"/>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color w:val="404040"/>
          <w:highlight w:val="white"/>
        </w:rPr>
      </w:pPr>
      <w:r w:rsidDel="00000000" w:rsidR="00000000" w:rsidRPr="00000000">
        <w:rPr>
          <w:b w:val="1"/>
          <w:color w:val="404040"/>
          <w:sz w:val="24"/>
          <w:szCs w:val="24"/>
          <w:rtl w:val="0"/>
        </w:rPr>
        <w:t xml:space="preserve">Ab sofort können Privatkunden zur Einstellung des pH-Wertes das neue BerkePOOL MF 14 nutzen. Damit reagieren wir auch auf die seit 01.02.2021 geänderten gesetzlichen Rahmenbedingungen.</w:t>
      </w:r>
      <w:r w:rsidDel="00000000" w:rsidR="00000000" w:rsidRPr="00000000">
        <w:rPr>
          <w:rtl w:val="0"/>
        </w:rPr>
      </w:r>
    </w:p>
    <w:p w:rsidR="00000000" w:rsidDel="00000000" w:rsidP="00000000" w:rsidRDefault="00000000" w:rsidRPr="00000000" w14:paraId="00000007">
      <w:pPr>
        <w:keepNext w:val="1"/>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color w:val="404040"/>
        </w:rPr>
      </w:pPr>
      <w:r w:rsidDel="00000000" w:rsidR="00000000" w:rsidRPr="00000000">
        <w:rPr>
          <w:color w:val="404040"/>
          <w:highlight w:val="white"/>
          <w:rtl w:val="0"/>
        </w:rPr>
        <w:t xml:space="preserve">Die seit dem ersten Februar geltenden strengeren Richtlinien der neuen EG Nr. 2019/1148 haben dazu geführt, dass unser bewährtes Desinfektionsmittel BerkePOOL MF 30 nun ausschließlich gewerblichen Kunden vorbehalten ist. Um die Desinfektion dennoch sicher und zuverlässig im eigenen Pool oder bei der Trinkwasserversorgung zu ermöglichen, bieten wir bereits seit Februar mit BerkePOOL MF 14 gemäß DIN/EN 899 ein passendes Äquivalent an.</w:t>
      </w:r>
      <w:r w:rsidDel="00000000" w:rsidR="00000000" w:rsidRPr="00000000">
        <w:rPr>
          <w:color w:val="404040"/>
          <w:rtl w:val="0"/>
        </w:rPr>
        <w:t xml:space="preserve"> </w:t>
      </w:r>
      <w:r w:rsidDel="00000000" w:rsidR="00000000" w:rsidRPr="00000000">
        <w:rPr>
          <w:rtl w:val="0"/>
        </w:rPr>
      </w:r>
    </w:p>
    <w:p w:rsidR="00000000" w:rsidDel="00000000" w:rsidP="00000000" w:rsidRDefault="00000000" w:rsidRPr="00000000" w14:paraId="00000008">
      <w:pPr>
        <w:widowControl w:val="1"/>
        <w:tabs>
          <w:tab w:val="left" w:pos="426"/>
        </w:tabs>
        <w:spacing w:after="200" w:line="276" w:lineRule="auto"/>
        <w:jc w:val="both"/>
        <w:rPr>
          <w:color w:val="404040"/>
        </w:rPr>
      </w:pPr>
      <w:r w:rsidDel="00000000" w:rsidR="00000000" w:rsidRPr="00000000">
        <w:rPr>
          <w:i w:val="1"/>
          <w:color w:val="404040"/>
          <w:rtl w:val="0"/>
        </w:rPr>
        <w:t xml:space="preserve">“Wir freuen uns darüber unseren Kunden mit BerkePOOL MF 14 eine zuverlässige Alternative liefern zu können, die den Einsatz und die Lagerung für unsere Kunden normgerecht, sicher und zugleich unkompliziert gestaltet”</w:t>
      </w:r>
      <w:r w:rsidDel="00000000" w:rsidR="00000000" w:rsidRPr="00000000">
        <w:rPr>
          <w:color w:val="404040"/>
          <w:rtl w:val="0"/>
        </w:rPr>
        <w:t xml:space="preserve">, erklärt Irina Lücking, Produktmanagerin für Hydrex™ Chemikalien bei Veolia Water Technologies.</w:t>
      </w:r>
      <w:r w:rsidDel="00000000" w:rsidR="00000000" w:rsidRPr="00000000">
        <w:rPr>
          <w:rtl w:val="0"/>
        </w:rPr>
      </w:r>
    </w:p>
    <w:p w:rsidR="00000000" w:rsidDel="00000000" w:rsidP="00000000" w:rsidRDefault="00000000" w:rsidRPr="00000000" w14:paraId="00000009">
      <w:pPr>
        <w:widowControl w:val="1"/>
        <w:tabs>
          <w:tab w:val="left" w:pos="426"/>
        </w:tabs>
        <w:spacing w:after="200" w:line="276" w:lineRule="auto"/>
        <w:jc w:val="both"/>
        <w:rPr>
          <w:color w:val="404040"/>
        </w:rPr>
      </w:pPr>
      <w:r w:rsidDel="00000000" w:rsidR="00000000" w:rsidRPr="00000000">
        <w:rPr>
          <w:color w:val="404040"/>
          <w:rtl w:val="0"/>
        </w:rPr>
        <w:t xml:space="preserve">Aus der neuen Verordnung ergeben sich neben erweiterten </w:t>
      </w:r>
      <w:r w:rsidDel="00000000" w:rsidR="00000000" w:rsidRPr="00000000">
        <w:rPr>
          <w:color w:val="404040"/>
          <w:rtl w:val="0"/>
        </w:rPr>
        <w:t xml:space="preserve">Unterrichts-, Dokumentations- und Meldepflichten für Produkte mit bestimmten Inhaltsstoffen, auch besondere Auflagen beim Verkauf von Chemikalien</w:t>
      </w:r>
      <w:r w:rsidDel="00000000" w:rsidR="00000000" w:rsidRPr="00000000">
        <w:rPr>
          <w:color w:val="404040"/>
          <w:rtl w:val="0"/>
        </w:rPr>
        <w:t xml:space="preserve">. Damit wollen die europäischen Staaten den Zugang und Missbrauch von sogenannten “Ausgangsstoffen für Explosivstoffe” einheitlich begrenzen und kontrollieren. Veolia Water Technologies bietet seinen Kunden ein umfangreiches Angebot an Chemikalien zur Reinigung und Desinfektion von Wasser für unterschiedlichste Anwendungen. Die Sicherheit für unsere Kunden und der normgerechte Einsatz dieser Produkte haben für uns höchste Priorität.</w:t>
      </w:r>
    </w:p>
    <w:p w:rsidR="00000000" w:rsidDel="00000000" w:rsidP="00000000" w:rsidRDefault="00000000" w:rsidRPr="00000000" w14:paraId="0000000A">
      <w:pPr>
        <w:widowControl w:val="1"/>
        <w:tabs>
          <w:tab w:val="left" w:pos="426"/>
        </w:tabs>
        <w:spacing w:after="200" w:line="276" w:lineRule="auto"/>
        <w:jc w:val="both"/>
        <w:rPr>
          <w:color w:val="404040"/>
        </w:rPr>
      </w:pPr>
      <w:r w:rsidDel="00000000" w:rsidR="00000000" w:rsidRPr="00000000">
        <w:rPr>
          <w:rtl w:val="0"/>
        </w:rPr>
      </w:r>
    </w:p>
    <w:p w:rsidR="00000000" w:rsidDel="00000000" w:rsidP="00000000" w:rsidRDefault="00000000" w:rsidRPr="00000000" w14:paraId="0000000B">
      <w:pPr>
        <w:widowControl w:val="1"/>
        <w:tabs>
          <w:tab w:val="left" w:pos="426"/>
        </w:tabs>
        <w:spacing w:after="200" w:line="276" w:lineRule="auto"/>
        <w:jc w:val="both"/>
        <w:rPr>
          <w:color w:val="404040"/>
          <w:u w:val="single"/>
        </w:rPr>
      </w:pPr>
      <w:r w:rsidDel="00000000" w:rsidR="00000000" w:rsidRPr="00000000">
        <w:rPr>
          <w:color w:val="404040"/>
          <w:u w:val="single"/>
          <w:rtl w:val="0"/>
        </w:rPr>
        <w:t xml:space="preserve">Mehr zum Thema: </w:t>
      </w:r>
    </w:p>
    <w:p w:rsidR="00000000" w:rsidDel="00000000" w:rsidP="00000000" w:rsidRDefault="00000000" w:rsidRPr="00000000" w14:paraId="0000000C">
      <w:pPr>
        <w:widowControl w:val="1"/>
        <w:tabs>
          <w:tab w:val="left" w:pos="426"/>
        </w:tabs>
        <w:spacing w:after="200" w:line="276" w:lineRule="auto"/>
        <w:jc w:val="both"/>
        <w:rPr>
          <w:b w:val="1"/>
          <w:i w:val="1"/>
          <w:color w:val="404040"/>
        </w:rPr>
      </w:pPr>
      <w:r w:rsidDel="00000000" w:rsidR="00000000" w:rsidRPr="00000000">
        <w:rPr>
          <w:b w:val="1"/>
          <w:i w:val="1"/>
          <w:color w:val="404040"/>
          <w:rtl w:val="0"/>
        </w:rPr>
        <w:t xml:space="preserve">Erfahren Sie mehr über die neue EG Nr. 2019/1148 und die Auswirkungen auf die Lagerung von Chemikalien in unserem Blog.</w:t>
      </w:r>
    </w:p>
    <w:p w:rsidR="00000000" w:rsidDel="00000000" w:rsidP="00000000" w:rsidRDefault="00000000" w:rsidRPr="00000000" w14:paraId="0000000D">
      <w:pPr>
        <w:spacing w:after="200" w:line="276" w:lineRule="auto"/>
        <w:jc w:val="both"/>
        <w:rPr>
          <w:b w:val="1"/>
          <w:color w:val="404040"/>
        </w:rPr>
      </w:pPr>
      <w:r w:rsidDel="00000000" w:rsidR="00000000" w:rsidRPr="00000000">
        <w:rPr>
          <w:b w:val="1"/>
          <w:i w:val="1"/>
          <w:color w:val="404040"/>
          <w:rtl w:val="0"/>
        </w:rPr>
        <w:t xml:space="preserve">Fragen zum Thema sicherer und normgerechter Betrieb von Schwimmbädern nach DIN 19642 gibt es in unserem </w:t>
      </w:r>
      <w:hyperlink r:id="rId10">
        <w:r w:rsidDel="00000000" w:rsidR="00000000" w:rsidRPr="00000000">
          <w:rPr>
            <w:b w:val="1"/>
            <w:i w:val="1"/>
            <w:color w:val="1155cc"/>
            <w:u w:val="single"/>
            <w:rtl w:val="0"/>
          </w:rPr>
          <w:t xml:space="preserve">Webinar</w:t>
        </w:r>
      </w:hyperlink>
      <w:r w:rsidDel="00000000" w:rsidR="00000000" w:rsidRPr="00000000">
        <w:rPr>
          <w:b w:val="1"/>
          <w:i w:val="1"/>
          <w:color w:val="404040"/>
          <w:rtl w:val="0"/>
        </w:rPr>
        <w:t xml:space="preserve">.</w:t>
      </w:r>
      <w:r w:rsidDel="00000000" w:rsidR="00000000" w:rsidRPr="00000000">
        <w:rPr>
          <w:rtl w:val="0"/>
        </w:rPr>
      </w:r>
    </w:p>
    <w:p w:rsidR="00000000" w:rsidDel="00000000" w:rsidP="00000000" w:rsidRDefault="00000000" w:rsidRPr="00000000" w14:paraId="0000000E">
      <w:pPr>
        <w:spacing w:after="200" w:line="276" w:lineRule="auto"/>
        <w:jc w:val="both"/>
        <w:rPr>
          <w:b w:val="1"/>
          <w:i w:val="1"/>
          <w:color w:val="404040"/>
        </w:rPr>
      </w:pPr>
      <w:r w:rsidDel="00000000" w:rsidR="00000000" w:rsidRPr="00000000">
        <w:rPr>
          <w:b w:val="1"/>
          <w:i w:val="1"/>
          <w:color w:val="404040"/>
          <w:rtl w:val="0"/>
        </w:rPr>
        <w:t xml:space="preserve">Alles zu unseren Produkten zur Aufbereitung von Schwimmbadwasser gibt es in unserem </w:t>
      </w:r>
      <w:hyperlink r:id="rId11">
        <w:r w:rsidDel="00000000" w:rsidR="00000000" w:rsidRPr="00000000">
          <w:rPr>
            <w:b w:val="1"/>
            <w:i w:val="1"/>
            <w:color w:val="1155cc"/>
            <w:u w:val="single"/>
            <w:rtl w:val="0"/>
          </w:rPr>
          <w:t xml:space="preserve">Online Produkt Katalog</w:t>
        </w:r>
      </w:hyperlink>
      <w:r w:rsidDel="00000000" w:rsidR="00000000" w:rsidRPr="00000000">
        <w:rPr>
          <w:b w:val="1"/>
          <w:i w:val="1"/>
          <w:color w:val="404040"/>
          <w:rtl w:val="0"/>
        </w:rPr>
        <w:t xml:space="preserve">.</w:t>
      </w:r>
    </w:p>
    <w:p w:rsidR="00000000" w:rsidDel="00000000" w:rsidP="00000000" w:rsidRDefault="00000000" w:rsidRPr="00000000" w14:paraId="0000000F">
      <w:pPr>
        <w:spacing w:line="276" w:lineRule="auto"/>
        <w:jc w:val="both"/>
        <w:rPr>
          <w:b w:val="1"/>
          <w:color w:val="7197ca"/>
          <w:sz w:val="24"/>
          <w:szCs w:val="24"/>
        </w:rPr>
      </w:pPr>
      <w:r w:rsidDel="00000000" w:rsidR="00000000" w:rsidRPr="00000000">
        <w:rPr>
          <w:rtl w:val="0"/>
        </w:rPr>
      </w:r>
    </w:p>
    <w:p w:rsidR="00000000" w:rsidDel="00000000" w:rsidP="00000000" w:rsidRDefault="00000000" w:rsidRPr="00000000" w14:paraId="00000010">
      <w:pPr>
        <w:widowControl w:val="1"/>
        <w:jc w:val="both"/>
        <w:rPr>
          <w:rFonts w:ascii="FS Rufus" w:cs="FS Rufus" w:eastAsia="FS Rufus" w:hAnsi="FS Rufus"/>
          <w:b w:val="1"/>
          <w:color w:val="7197ca"/>
        </w:rPr>
      </w:pPr>
      <w:r w:rsidDel="00000000" w:rsidR="00000000" w:rsidRPr="00000000">
        <w:rPr>
          <w:rtl w:val="0"/>
        </w:rPr>
      </w:r>
    </w:p>
    <w:p w:rsidR="00000000" w:rsidDel="00000000" w:rsidP="00000000" w:rsidRDefault="00000000" w:rsidRPr="00000000" w14:paraId="00000011">
      <w:pPr>
        <w:widowControl w:val="1"/>
        <w:jc w:val="both"/>
        <w:rPr>
          <w:b w:val="1"/>
          <w:color w:val="7197ca"/>
          <w:sz w:val="24"/>
          <w:szCs w:val="24"/>
        </w:rPr>
      </w:pPr>
      <w:r w:rsidDel="00000000" w:rsidR="00000000" w:rsidRPr="00000000">
        <w:rPr>
          <w:b w:val="1"/>
          <w:color w:val="7197ca"/>
          <w:sz w:val="24"/>
          <w:szCs w:val="24"/>
          <w:rtl w:val="0"/>
        </w:rPr>
        <w:t xml:space="preserve">Unternehmensprofil</w:t>
      </w:r>
    </w:p>
    <w:p w:rsidR="00000000" w:rsidDel="00000000" w:rsidP="00000000" w:rsidRDefault="00000000" w:rsidRPr="00000000" w14:paraId="00000012">
      <w:pPr>
        <w:widowControl w:val="1"/>
        <w:shd w:fill="ffffff" w:val="clear"/>
        <w:ind w:right="-86"/>
        <w:jc w:val="both"/>
        <w:rPr>
          <w:i w:val="1"/>
          <w:color w:val="000000"/>
          <w:sz w:val="18"/>
          <w:szCs w:val="18"/>
        </w:rPr>
      </w:pPr>
      <w:r w:rsidDel="00000000" w:rsidR="00000000" w:rsidRPr="00000000">
        <w:rPr>
          <w:rtl w:val="0"/>
        </w:rPr>
      </w:r>
    </w:p>
    <w:p w:rsidR="00000000" w:rsidDel="00000000" w:rsidP="00000000" w:rsidRDefault="00000000" w:rsidRPr="00000000" w14:paraId="00000013">
      <w:pPr>
        <w:widowControl w:val="1"/>
        <w:jc w:val="both"/>
        <w:rPr>
          <w:b w:val="1"/>
          <w:color w:val="404040"/>
        </w:rPr>
      </w:pPr>
      <w:r w:rsidDel="00000000" w:rsidR="00000000" w:rsidRPr="00000000">
        <w:rPr>
          <w:b w:val="1"/>
          <w:color w:val="404040"/>
          <w:rtl w:val="0"/>
        </w:rPr>
        <w:t xml:space="preserve">Veolia Water Technologies in Deutschland</w:t>
      </w:r>
    </w:p>
    <w:p w:rsidR="00000000" w:rsidDel="00000000" w:rsidP="00000000" w:rsidRDefault="00000000" w:rsidRPr="00000000" w14:paraId="00000014">
      <w:pPr>
        <w:widowControl w:val="1"/>
        <w:spacing w:line="276" w:lineRule="auto"/>
        <w:jc w:val="both"/>
        <w:rPr>
          <w:color w:val="404040"/>
        </w:rPr>
      </w:pPr>
      <w:r w:rsidDel="00000000" w:rsidR="00000000" w:rsidRPr="00000000">
        <w:rPr>
          <w:color w:val="404040"/>
          <w:rtl w:val="0"/>
        </w:rPr>
        <w:t xml:space="preserve">Mit den Technologiemarken BERKEFELD, ELGA LABWATER, RWO, PMT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15">
      <w:pPr>
        <w:widowControl w:val="1"/>
        <w:spacing w:line="276" w:lineRule="auto"/>
        <w:ind w:left="720" w:firstLine="0"/>
        <w:jc w:val="both"/>
        <w:rPr>
          <w:color w:val="404040"/>
        </w:rPr>
      </w:pPr>
      <w:r w:rsidDel="00000000" w:rsidR="00000000" w:rsidRPr="00000000">
        <w:rPr>
          <w:rtl w:val="0"/>
        </w:rPr>
      </w:r>
    </w:p>
    <w:p w:rsidR="00000000" w:rsidDel="00000000" w:rsidP="00000000" w:rsidRDefault="00000000" w:rsidRPr="00000000" w14:paraId="00000016">
      <w:pPr>
        <w:widowControl w:val="1"/>
        <w:spacing w:line="276" w:lineRule="auto"/>
        <w:jc w:val="both"/>
        <w:rPr>
          <w:b w:val="1"/>
          <w:color w:val="404040"/>
        </w:rPr>
      </w:pPr>
      <w:r w:rsidDel="00000000" w:rsidR="00000000" w:rsidRPr="00000000">
        <w:rPr>
          <w:color w:val="404040"/>
          <w:rtl w:val="0"/>
        </w:rPr>
        <w:t xml:space="preserve">Am Hauptsitz in Celle und an den Standorten in Bremen, Bayreuth, Leonberg und Crailsheim werden rund 400 Mitarbeiter beschäftigt. Ein bundesweites Netzwerk von über 50 Servicetechnikern und 30 Vertriebsingenieuren bietet Beratungskompetenz  und schnelle Unterstützung. </w:t>
      </w:r>
      <w:hyperlink r:id="rId12">
        <w:r w:rsidDel="00000000" w:rsidR="00000000" w:rsidRPr="00000000">
          <w:rPr>
            <w:color w:val="404040"/>
            <w:u w:val="single"/>
            <w:rtl w:val="0"/>
          </w:rPr>
          <w:t xml:space="preserve">www.veoliawatertechnologies.de</w:t>
        </w:r>
      </w:hyperlink>
      <w:r w:rsidDel="00000000" w:rsidR="00000000" w:rsidRPr="00000000">
        <w:rPr>
          <w:rtl w:val="0"/>
        </w:rPr>
      </w:r>
    </w:p>
    <w:p w:rsidR="00000000" w:rsidDel="00000000" w:rsidP="00000000" w:rsidRDefault="00000000" w:rsidRPr="00000000" w14:paraId="00000017">
      <w:pPr>
        <w:widowControl w:val="1"/>
        <w:spacing w:line="276" w:lineRule="auto"/>
        <w:ind w:left="720" w:firstLine="0"/>
        <w:jc w:val="both"/>
        <w:rPr>
          <w:b w:val="1"/>
          <w:color w:val="404040"/>
        </w:rPr>
      </w:pPr>
      <w:r w:rsidDel="00000000" w:rsidR="00000000" w:rsidRPr="00000000">
        <w:rPr>
          <w:b w:val="1"/>
          <w:color w:val="404040"/>
          <w:rtl w:val="0"/>
        </w:rPr>
        <w:t xml:space="preserve"> </w:t>
      </w:r>
    </w:p>
    <w:p w:rsidR="00000000" w:rsidDel="00000000" w:rsidP="00000000" w:rsidRDefault="00000000" w:rsidRPr="00000000" w14:paraId="00000018">
      <w:pPr>
        <w:widowControl w:val="1"/>
        <w:spacing w:line="276" w:lineRule="auto"/>
        <w:jc w:val="both"/>
        <w:rPr>
          <w:b w:val="1"/>
          <w:color w:val="262626"/>
        </w:rPr>
      </w:pPr>
      <w:r w:rsidDel="00000000" w:rsidR="00000000" w:rsidRPr="00000000">
        <w:rPr>
          <w:b w:val="1"/>
          <w:color w:val="404040"/>
          <w:rtl w:val="0"/>
        </w:rPr>
        <w:t xml:space="preserve">Veolia</w:t>
      </w:r>
      <w:r w:rsidDel="00000000" w:rsidR="00000000" w:rsidRPr="00000000">
        <w:rPr>
          <w:color w:val="404040"/>
          <w:rtl w:val="0"/>
        </w:rPr>
        <w:t xml:space="preserve"> Gruppe ist der weltweite Maßstab für optimiertes Ressourcenmanagement. Mit über 171.000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2019 stellte die Veolia-Gruppe weltweit die Trinkwasserversorgung von 95 Millionen Menschen und die Abwasserentsorgung für 63 Millionen Menschen sicher, erzeugte 46 Millionen MWh Energie und verwertete 49 Millionen Tonnen Abfälle. Der konsolidierte Jahresumsatz von Veolia Environnement (</w:t>
      </w:r>
      <w:r w:rsidDel="00000000" w:rsidR="00000000" w:rsidRPr="00000000">
        <w:rPr>
          <w:i w:val="1"/>
          <w:color w:val="404040"/>
          <w:rtl w:val="0"/>
        </w:rPr>
        <w:t xml:space="preserve">Paris Euronext: VIE</w:t>
      </w:r>
      <w:r w:rsidDel="00000000" w:rsidR="00000000" w:rsidRPr="00000000">
        <w:rPr>
          <w:color w:val="404040"/>
          <w:rtl w:val="0"/>
        </w:rPr>
        <w:t xml:space="preserve">) betrug 2019 25,91 Milliarden Euro. </w:t>
      </w:r>
      <w:hyperlink r:id="rId13">
        <w:r w:rsidDel="00000000" w:rsidR="00000000" w:rsidRPr="00000000">
          <w:rPr>
            <w:color w:val="1155cc"/>
            <w:u w:val="single"/>
            <w:rtl w:val="0"/>
          </w:rPr>
          <w:t xml:space="preserve">www.veolia.com</w:t>
        </w:r>
      </w:hyperlink>
      <w:r w:rsidDel="00000000" w:rsidR="00000000" w:rsidRPr="00000000">
        <w:rPr>
          <w:rtl w:val="0"/>
        </w:rPr>
      </w:r>
    </w:p>
    <w:p w:rsidR="00000000" w:rsidDel="00000000" w:rsidP="00000000" w:rsidRDefault="00000000" w:rsidRPr="00000000" w14:paraId="00000019">
      <w:pPr>
        <w:widowControl w:val="1"/>
        <w:spacing w:line="276" w:lineRule="auto"/>
        <w:jc w:val="both"/>
        <w:rPr>
          <w:b w:val="1"/>
          <w:color w:val="000000"/>
        </w:rPr>
      </w:pPr>
      <w:r w:rsidDel="00000000" w:rsidR="00000000" w:rsidRPr="00000000">
        <w:rPr>
          <w:rtl w:val="0"/>
        </w:rPr>
      </w:r>
    </w:p>
    <w:p w:rsidR="00000000" w:rsidDel="00000000" w:rsidP="00000000" w:rsidRDefault="00000000" w:rsidRPr="00000000" w14:paraId="0000001A">
      <w:pPr>
        <w:widowControl w:val="1"/>
        <w:spacing w:line="276" w:lineRule="auto"/>
        <w:jc w:val="both"/>
        <w:rPr>
          <w:b w:val="1"/>
          <w:color w:val="000000"/>
        </w:rPr>
      </w:pPr>
      <w:r w:rsidDel="00000000" w:rsidR="00000000" w:rsidRPr="00000000">
        <w:rPr>
          <w:rtl w:val="0"/>
        </w:rPr>
      </w:r>
    </w:p>
    <w:p w:rsidR="00000000" w:rsidDel="00000000" w:rsidP="00000000" w:rsidRDefault="00000000" w:rsidRPr="00000000" w14:paraId="0000001B">
      <w:pPr>
        <w:widowControl w:val="1"/>
        <w:spacing w:line="276" w:lineRule="auto"/>
        <w:jc w:val="both"/>
        <w:rPr>
          <w:rFonts w:ascii="FS Rufus" w:cs="FS Rufus" w:eastAsia="FS Rufus" w:hAnsi="FS Rufus"/>
          <w:b w:val="1"/>
          <w:color w:val="7197c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C">
      <w:pPr>
        <w:widowControl w:val="1"/>
        <w:spacing w:line="276" w:lineRule="auto"/>
        <w:jc w:val="both"/>
        <w:rPr>
          <w:b w:val="1"/>
          <w:color w:val="7197ca"/>
          <w:sz w:val="24"/>
          <w:szCs w:val="24"/>
        </w:rPr>
      </w:pPr>
      <w:r w:rsidDel="00000000" w:rsidR="00000000" w:rsidRPr="00000000">
        <w:rPr>
          <w:b w:val="1"/>
          <w:color w:val="7197ca"/>
          <w:sz w:val="24"/>
          <w:szCs w:val="24"/>
          <w:rtl w:val="0"/>
        </w:rPr>
        <w:t xml:space="preserve">Kontakt</w:t>
      </w:r>
    </w:p>
    <w:p w:rsidR="00000000" w:rsidDel="00000000" w:rsidP="00000000" w:rsidRDefault="00000000" w:rsidRPr="00000000" w14:paraId="0000001D">
      <w:pPr>
        <w:widowControl w:val="1"/>
        <w:ind w:right="970"/>
        <w:jc w:val="both"/>
        <w:rPr>
          <w:rFonts w:ascii="FS Rufus" w:cs="FS Rufus" w:eastAsia="FS Rufus" w:hAnsi="FS Rufus"/>
          <w:b w:val="1"/>
          <w:color w:val="404040"/>
        </w:rPr>
      </w:pPr>
      <w:r w:rsidDel="00000000" w:rsidR="00000000" w:rsidRPr="00000000">
        <w:rPr>
          <w:rFonts w:ascii="FS Rufus" w:cs="FS Rufus" w:eastAsia="FS Rufus" w:hAnsi="FS Rufus"/>
          <w:b w:val="1"/>
          <w:color w:val="404040"/>
          <w:rtl w:val="0"/>
        </w:rPr>
        <w:t xml:space="preserve">Veolia Water Technologies Deutschland GmbH</w:t>
      </w:r>
    </w:p>
    <w:p w:rsidR="00000000" w:rsidDel="00000000" w:rsidP="00000000" w:rsidRDefault="00000000" w:rsidRPr="00000000" w14:paraId="0000001E">
      <w:pPr>
        <w:widowControl w:val="1"/>
        <w:ind w:right="970"/>
        <w:jc w:val="both"/>
        <w:rPr>
          <w:rFonts w:ascii="FS Rufus" w:cs="FS Rufus" w:eastAsia="FS Rufus" w:hAnsi="FS Rufus"/>
          <w:b w:val="1"/>
          <w:color w:val="404040"/>
        </w:rPr>
      </w:pPr>
      <w:r w:rsidDel="00000000" w:rsidR="00000000" w:rsidRPr="00000000">
        <w:rPr>
          <w:rtl w:val="0"/>
        </w:rPr>
      </w:r>
    </w:p>
    <w:p w:rsidR="00000000" w:rsidDel="00000000" w:rsidP="00000000" w:rsidRDefault="00000000" w:rsidRPr="00000000" w14:paraId="0000001F">
      <w:pPr>
        <w:widowControl w:val="1"/>
        <w:ind w:right="970"/>
        <w:jc w:val="both"/>
        <w:rPr>
          <w:rFonts w:ascii="FS Rufus" w:cs="FS Rufus" w:eastAsia="FS Rufus" w:hAnsi="FS Rufus"/>
          <w:b w:val="1"/>
          <w:color w:val="404040"/>
        </w:rPr>
      </w:pPr>
      <w:r w:rsidDel="00000000" w:rsidR="00000000" w:rsidRPr="00000000">
        <w:rPr>
          <w:rtl w:val="0"/>
        </w:rPr>
      </w:r>
    </w:p>
    <w:p w:rsidR="00000000" w:rsidDel="00000000" w:rsidP="00000000" w:rsidRDefault="00000000" w:rsidRPr="00000000" w14:paraId="00000020">
      <w:pPr>
        <w:widowControl w:val="1"/>
        <w:jc w:val="both"/>
        <w:rPr>
          <w:rFonts w:ascii="FS Rufus" w:cs="FS Rufus" w:eastAsia="FS Rufus" w:hAnsi="FS Rufus"/>
          <w:i w:val="1"/>
          <w:color w:val="404040"/>
        </w:rPr>
      </w:pPr>
      <w:r w:rsidDel="00000000" w:rsidR="00000000" w:rsidRPr="00000000">
        <w:rPr>
          <w:rFonts w:ascii="FS Rufus" w:cs="FS Rufus" w:eastAsia="FS Rufus" w:hAnsi="FS Rufus"/>
          <w:i w:val="1"/>
          <w:color w:val="404040"/>
          <w:rtl w:val="0"/>
        </w:rPr>
        <w:t xml:space="preserve">Pressekontakt</w:t>
      </w:r>
    </w:p>
    <w:p w:rsidR="00000000" w:rsidDel="00000000" w:rsidP="00000000" w:rsidRDefault="00000000" w:rsidRPr="00000000" w14:paraId="00000021">
      <w:pPr>
        <w:widowControl w:val="1"/>
        <w:jc w:val="both"/>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Tobias Jungke</w:t>
      </w:r>
    </w:p>
    <w:p w:rsidR="00000000" w:rsidDel="00000000" w:rsidP="00000000" w:rsidRDefault="00000000" w:rsidRPr="00000000" w14:paraId="00000022">
      <w:pPr>
        <w:widowControl w:val="1"/>
        <w:ind w:right="970"/>
        <w:jc w:val="both"/>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Lückenweg 5, 29227 Celle</w:t>
      </w:r>
    </w:p>
    <w:p w:rsidR="00000000" w:rsidDel="00000000" w:rsidP="00000000" w:rsidRDefault="00000000" w:rsidRPr="00000000" w14:paraId="00000023">
      <w:pPr>
        <w:widowControl w:val="1"/>
        <w:tabs>
          <w:tab w:val="left" w:pos="900"/>
        </w:tabs>
        <w:ind w:right="970"/>
        <w:jc w:val="both"/>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Telefon: </w:t>
        <w:tab/>
        <w:t xml:space="preserve">+49 (0) 5141 803-562</w:t>
      </w:r>
    </w:p>
    <w:p w:rsidR="00000000" w:rsidDel="00000000" w:rsidP="00000000" w:rsidRDefault="00000000" w:rsidRPr="00000000" w14:paraId="00000024">
      <w:pPr>
        <w:widowControl w:val="1"/>
        <w:tabs>
          <w:tab w:val="left" w:pos="900"/>
        </w:tabs>
        <w:ind w:right="970"/>
        <w:jc w:val="both"/>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Mobil: </w:t>
        <w:tab/>
        <w:t xml:space="preserve">+49 (0) 160 1417575</w:t>
      </w:r>
    </w:p>
    <w:p w:rsidR="00000000" w:rsidDel="00000000" w:rsidP="00000000" w:rsidRDefault="00000000" w:rsidRPr="00000000" w14:paraId="00000025">
      <w:pPr>
        <w:widowControl w:val="1"/>
        <w:tabs>
          <w:tab w:val="left" w:pos="900"/>
        </w:tabs>
        <w:ind w:right="970"/>
        <w:jc w:val="both"/>
        <w:rPr/>
      </w:pPr>
      <w:hyperlink r:id="rId14">
        <w:r w:rsidDel="00000000" w:rsidR="00000000" w:rsidRPr="00000000">
          <w:rPr>
            <w:rFonts w:ascii="FS Rufus" w:cs="FS Rufus" w:eastAsia="FS Rufus" w:hAnsi="FS Rufus"/>
            <w:color w:val="1155cc"/>
            <w:u w:val="single"/>
            <w:rtl w:val="0"/>
          </w:rPr>
          <w:t xml:space="preserve">tobias.jungke@veolia.com</w:t>
        </w:r>
      </w:hyperlink>
      <w:r w:rsidDel="00000000" w:rsidR="00000000" w:rsidRPr="00000000">
        <w:rPr>
          <w:rtl w:val="0"/>
        </w:rPr>
      </w:r>
    </w:p>
    <w:p w:rsidR="00000000" w:rsidDel="00000000" w:rsidP="00000000" w:rsidRDefault="00000000" w:rsidRPr="00000000" w14:paraId="00000026">
      <w:pPr>
        <w:widowControl w:val="1"/>
        <w:tabs>
          <w:tab w:val="left" w:pos="900"/>
        </w:tabs>
        <w:ind w:right="970"/>
        <w:jc w:val="both"/>
        <w:rPr/>
      </w:pPr>
      <w:r w:rsidDel="00000000" w:rsidR="00000000" w:rsidRPr="00000000">
        <w:rPr>
          <w:rtl w:val="0"/>
        </w:rPr>
      </w:r>
    </w:p>
    <w:p w:rsidR="00000000" w:rsidDel="00000000" w:rsidP="00000000" w:rsidRDefault="00000000" w:rsidRPr="00000000" w14:paraId="00000027">
      <w:pPr>
        <w:widowControl w:val="1"/>
        <w:tabs>
          <w:tab w:val="left" w:pos="900"/>
        </w:tabs>
        <w:ind w:right="970"/>
        <w:jc w:val="both"/>
        <w:rPr/>
      </w:pPr>
      <w:r w:rsidDel="00000000" w:rsidR="00000000" w:rsidRPr="00000000">
        <w:rPr>
          <w:rtl w:val="0"/>
        </w:rPr>
      </w:r>
    </w:p>
    <w:sectPr>
      <w:headerReference r:id="rId15" w:type="default"/>
      <w:footerReference r:id="rId16" w:type="default"/>
      <w:footerReference r:id="rId17" w:type="first"/>
      <w:pgSz w:h="16840" w:w="11907" w:orient="portrait"/>
      <w:pgMar w:bottom="369" w:top="369" w:left="964" w:right="99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369"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369"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36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i w:val="1"/>
        <w:color w:val="7197ca"/>
        <w:sz w:val="24"/>
        <w:szCs w:val="24"/>
      </w:rPr>
    </w:pPr>
    <w:r w:rsidDel="00000000" w:rsidR="00000000" w:rsidRPr="00000000">
      <w:rPr>
        <w:i w:val="1"/>
        <w:color w:val="7197ca"/>
        <w:sz w:val="24"/>
        <w:szCs w:val="24"/>
        <w:rtl w:val="0"/>
      </w:rPr>
      <w:t xml:space="preserve">Presseinformation</w:t>
    </w: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1"/>
        <w:smallCaps w:val="0"/>
        <w:strike w:val="0"/>
        <w:color w:val="7197ca"/>
        <w:sz w:val="20"/>
        <w:szCs w:val="20"/>
        <w:u w:val="none"/>
        <w:shd w:fill="auto" w:val="clear"/>
        <w:vertAlign w:val="baseline"/>
      </w:rPr>
    </w:pPr>
    <w:r w:rsidDel="00000000" w:rsidR="00000000" w:rsidRPr="00000000">
      <w:rPr>
        <w:i w:val="1"/>
        <w:color w:val="7197ca"/>
        <w:rtl w:val="0"/>
      </w:rPr>
      <w:t xml:space="preserve">29.03.2021</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color="0062a9" w:space="1" w:sz="24" w:val="single"/>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online-produktkatalog.de/site/frontend/?" TargetMode="External"/><Relationship Id="rId10" Type="http://schemas.openxmlformats.org/officeDocument/2006/relationships/hyperlink" Target="https://www.youtube.com/watch?v=JETbJPXjXlM" TargetMode="External"/><Relationship Id="rId13" Type="http://schemas.openxmlformats.org/officeDocument/2006/relationships/hyperlink" Target="http://www.veolia.com" TargetMode="External"/><Relationship Id="rId12" Type="http://schemas.openxmlformats.org/officeDocument/2006/relationships/hyperlink" Target="http://www.veoliawatertechnologies.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1.xml"/><Relationship Id="rId14" Type="http://schemas.openxmlformats.org/officeDocument/2006/relationships/hyperlink" Target="mailto:tobias.jungke@veolia.com" TargetMode="Externa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