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</w:r>
      <w:r w:rsidR="00DE6963">
        <w:t>6 augusti 2009</w:t>
      </w:r>
    </w:p>
    <w:bookmarkEnd w:id="0"/>
    <w:bookmarkEnd w:id="1"/>
    <w:p w:rsidR="004B7619" w:rsidRDefault="004B7619" w:rsidP="00A800F7">
      <w:pPr>
        <w:rPr>
          <w:i/>
          <w:sz w:val="24"/>
        </w:rPr>
      </w:pPr>
    </w:p>
    <w:p w:rsidR="0075239D" w:rsidRDefault="0075239D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66B8" w:rsidRDefault="00C714A2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Fortsatt </w:t>
      </w:r>
      <w:r w:rsidR="00E93F06">
        <w:rPr>
          <w:b/>
          <w:bCs/>
          <w:color w:val="000000"/>
          <w:sz w:val="28"/>
          <w:szCs w:val="28"/>
        </w:rPr>
        <w:t>lönsamhet</w:t>
      </w:r>
      <w:r>
        <w:rPr>
          <w:b/>
          <w:bCs/>
          <w:color w:val="000000"/>
          <w:sz w:val="28"/>
          <w:szCs w:val="28"/>
        </w:rPr>
        <w:t xml:space="preserve"> för Trygg-Hansa/Codan </w:t>
      </w:r>
      <w:r w:rsidR="0023155E">
        <w:rPr>
          <w:b/>
          <w:bCs/>
          <w:color w:val="000000"/>
          <w:sz w:val="28"/>
          <w:szCs w:val="28"/>
        </w:rPr>
        <w:t xml:space="preserve">under </w:t>
      </w:r>
      <w:r>
        <w:rPr>
          <w:b/>
          <w:bCs/>
          <w:color w:val="000000"/>
          <w:sz w:val="28"/>
          <w:szCs w:val="28"/>
        </w:rPr>
        <w:t xml:space="preserve">första </w:t>
      </w:r>
      <w:r w:rsidR="00912623">
        <w:rPr>
          <w:b/>
          <w:bCs/>
          <w:color w:val="000000"/>
          <w:sz w:val="28"/>
          <w:szCs w:val="28"/>
        </w:rPr>
        <w:t>halvår</w:t>
      </w:r>
      <w:r>
        <w:rPr>
          <w:b/>
          <w:bCs/>
          <w:color w:val="000000"/>
          <w:sz w:val="28"/>
          <w:szCs w:val="28"/>
        </w:rPr>
        <w:t>et</w:t>
      </w:r>
      <w:r w:rsidR="00912623">
        <w:rPr>
          <w:b/>
          <w:bCs/>
          <w:color w:val="000000"/>
          <w:sz w:val="28"/>
          <w:szCs w:val="28"/>
        </w:rPr>
        <w:t xml:space="preserve"> </w:t>
      </w:r>
      <w:r w:rsidR="00DE6963">
        <w:rPr>
          <w:b/>
          <w:bCs/>
          <w:color w:val="000000"/>
          <w:sz w:val="28"/>
          <w:szCs w:val="28"/>
        </w:rPr>
        <w:t>2009</w:t>
      </w:r>
    </w:p>
    <w:p w:rsidR="0075239D" w:rsidRDefault="0075239D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66B8" w:rsidRDefault="00912623" w:rsidP="00912623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Nettopremieinkomsten i Skandinavien </w:t>
      </w:r>
      <w:r w:rsidR="00E93F06">
        <w:rPr>
          <w:b/>
          <w:bCs/>
          <w:color w:val="000000"/>
          <w:sz w:val="24"/>
          <w:szCs w:val="24"/>
        </w:rPr>
        <w:t xml:space="preserve">uppgick till </w:t>
      </w:r>
      <w:r w:rsidR="000B3115" w:rsidRPr="000B3115">
        <w:rPr>
          <w:b/>
          <w:bCs/>
          <w:color w:val="000000"/>
          <w:sz w:val="24"/>
          <w:szCs w:val="24"/>
        </w:rPr>
        <w:t>12,319</w:t>
      </w:r>
      <w:r w:rsidR="00E156AA">
        <w:rPr>
          <w:b/>
          <w:bCs/>
          <w:color w:val="000000"/>
          <w:sz w:val="24"/>
          <w:szCs w:val="24"/>
        </w:rPr>
        <w:t xml:space="preserve"> miljoner</w:t>
      </w:r>
      <w:r w:rsidR="000B3115" w:rsidRPr="000B3115">
        <w:rPr>
          <w:b/>
          <w:bCs/>
          <w:color w:val="000000"/>
          <w:sz w:val="24"/>
          <w:szCs w:val="24"/>
        </w:rPr>
        <w:t xml:space="preserve"> SEK</w:t>
      </w:r>
      <w:r w:rsidR="000B3115">
        <w:rPr>
          <w:b/>
          <w:bCs/>
          <w:color w:val="000000"/>
          <w:sz w:val="24"/>
          <w:szCs w:val="24"/>
        </w:rPr>
        <w:t xml:space="preserve"> (</w:t>
      </w:r>
      <w:r w:rsidR="00DE6963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>,</w:t>
      </w:r>
      <w:r w:rsidR="00DE6963">
        <w:rPr>
          <w:b/>
          <w:bCs/>
          <w:color w:val="000000"/>
          <w:sz w:val="24"/>
          <w:szCs w:val="24"/>
        </w:rPr>
        <w:t>446</w:t>
      </w:r>
      <w:r>
        <w:rPr>
          <w:b/>
          <w:bCs/>
          <w:color w:val="000000"/>
          <w:sz w:val="24"/>
          <w:szCs w:val="24"/>
        </w:rPr>
        <w:t xml:space="preserve"> miljoner DKK</w:t>
      </w:r>
      <w:r w:rsidR="000B3115">
        <w:rPr>
          <w:b/>
          <w:bCs/>
          <w:color w:val="000000"/>
          <w:sz w:val="24"/>
          <w:szCs w:val="24"/>
        </w:rPr>
        <w:t>)</w:t>
      </w:r>
      <w:r w:rsidR="00936248">
        <w:rPr>
          <w:b/>
          <w:bCs/>
          <w:color w:val="000000"/>
          <w:sz w:val="24"/>
          <w:szCs w:val="24"/>
        </w:rPr>
        <w:t>, ner med 1 % i konstant valuta</w:t>
      </w:r>
      <w:r w:rsidR="004D66B8">
        <w:rPr>
          <w:b/>
          <w:bCs/>
          <w:color w:val="000000"/>
          <w:sz w:val="24"/>
          <w:szCs w:val="24"/>
        </w:rPr>
        <w:t>.</w:t>
      </w:r>
    </w:p>
    <w:p w:rsidR="00912623" w:rsidRDefault="00936248" w:rsidP="00912623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U</w:t>
      </w:r>
      <w:r w:rsidR="00912623">
        <w:rPr>
          <w:b/>
          <w:bCs/>
          <w:color w:val="000000"/>
          <w:sz w:val="24"/>
          <w:szCs w:val="24"/>
        </w:rPr>
        <w:t>nderwritingresultat</w:t>
      </w:r>
      <w:r>
        <w:rPr>
          <w:b/>
          <w:bCs/>
          <w:color w:val="000000"/>
          <w:sz w:val="24"/>
          <w:szCs w:val="24"/>
        </w:rPr>
        <w:t>et</w:t>
      </w:r>
      <w:proofErr w:type="spellEnd"/>
      <w:r w:rsidR="0091262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på 1,283 </w:t>
      </w:r>
      <w:proofErr w:type="spellStart"/>
      <w:r>
        <w:rPr>
          <w:b/>
          <w:bCs/>
          <w:color w:val="000000"/>
          <w:sz w:val="24"/>
          <w:szCs w:val="24"/>
        </w:rPr>
        <w:t>mSEK</w:t>
      </w:r>
      <w:proofErr w:type="spellEnd"/>
      <w:r>
        <w:rPr>
          <w:b/>
          <w:bCs/>
          <w:color w:val="000000"/>
          <w:sz w:val="24"/>
          <w:szCs w:val="24"/>
        </w:rPr>
        <w:t xml:space="preserve"> (880 </w:t>
      </w:r>
      <w:proofErr w:type="spellStart"/>
      <w:r>
        <w:rPr>
          <w:b/>
          <w:bCs/>
          <w:color w:val="000000"/>
          <w:sz w:val="24"/>
          <w:szCs w:val="24"/>
        </w:rPr>
        <w:t>mDKK</w:t>
      </w:r>
      <w:proofErr w:type="spellEnd"/>
      <w:r>
        <w:rPr>
          <w:b/>
          <w:bCs/>
          <w:color w:val="000000"/>
          <w:sz w:val="24"/>
          <w:szCs w:val="24"/>
        </w:rPr>
        <w:t xml:space="preserve">) </w:t>
      </w:r>
      <w:r w:rsidR="00FA1944">
        <w:rPr>
          <w:b/>
          <w:bCs/>
          <w:color w:val="000000"/>
          <w:sz w:val="24"/>
          <w:szCs w:val="24"/>
        </w:rPr>
        <w:t xml:space="preserve">under </w:t>
      </w:r>
      <w:r>
        <w:rPr>
          <w:b/>
          <w:bCs/>
          <w:color w:val="000000"/>
          <w:sz w:val="24"/>
          <w:szCs w:val="24"/>
        </w:rPr>
        <w:t xml:space="preserve">det </w:t>
      </w:r>
      <w:r w:rsidR="00FA1944">
        <w:rPr>
          <w:b/>
          <w:bCs/>
          <w:color w:val="000000"/>
          <w:sz w:val="24"/>
          <w:szCs w:val="24"/>
        </w:rPr>
        <w:t>första halvåret</w:t>
      </w:r>
      <w:r w:rsidR="0001113E">
        <w:rPr>
          <w:b/>
          <w:bCs/>
          <w:color w:val="000000"/>
          <w:sz w:val="24"/>
          <w:szCs w:val="24"/>
        </w:rPr>
        <w:t xml:space="preserve"> 200</w:t>
      </w:r>
      <w:r w:rsidR="00DE6963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var 26 %</w:t>
      </w:r>
      <w:r w:rsidR="00FA194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bättre </w:t>
      </w:r>
      <w:r w:rsidR="00FA1944">
        <w:rPr>
          <w:b/>
          <w:bCs/>
          <w:color w:val="000000"/>
          <w:sz w:val="24"/>
          <w:szCs w:val="24"/>
        </w:rPr>
        <w:t>jämfört med året innan</w:t>
      </w:r>
      <w:r>
        <w:rPr>
          <w:b/>
          <w:bCs/>
          <w:color w:val="000000"/>
          <w:sz w:val="24"/>
          <w:szCs w:val="24"/>
        </w:rPr>
        <w:t xml:space="preserve"> (1,017 mSEK/697 </w:t>
      </w:r>
      <w:proofErr w:type="spellStart"/>
      <w:r>
        <w:rPr>
          <w:b/>
          <w:bCs/>
          <w:color w:val="000000"/>
          <w:sz w:val="24"/>
          <w:szCs w:val="24"/>
        </w:rPr>
        <w:t>mDKK</w:t>
      </w:r>
      <w:proofErr w:type="spellEnd"/>
      <w:r>
        <w:rPr>
          <w:b/>
          <w:bCs/>
          <w:color w:val="000000"/>
          <w:sz w:val="24"/>
          <w:szCs w:val="24"/>
        </w:rPr>
        <w:t>)</w:t>
      </w:r>
      <w:r w:rsidR="003B4DAB">
        <w:rPr>
          <w:b/>
          <w:bCs/>
          <w:color w:val="000000"/>
          <w:sz w:val="24"/>
          <w:szCs w:val="24"/>
        </w:rPr>
        <w:t>*</w:t>
      </w:r>
      <w:r w:rsidR="00FA1944">
        <w:rPr>
          <w:b/>
          <w:bCs/>
          <w:color w:val="000000"/>
          <w:sz w:val="24"/>
          <w:szCs w:val="24"/>
        </w:rPr>
        <w:t>.</w:t>
      </w:r>
    </w:p>
    <w:p w:rsidR="00FA1944" w:rsidRPr="000005A2" w:rsidRDefault="000005A2" w:rsidP="000005A2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C</w:t>
      </w:r>
      <w:r w:rsidR="00FA1944">
        <w:rPr>
          <w:b/>
          <w:bCs/>
          <w:color w:val="000000"/>
          <w:sz w:val="24"/>
          <w:szCs w:val="24"/>
        </w:rPr>
        <w:t>ombined</w:t>
      </w:r>
      <w:proofErr w:type="spellEnd"/>
      <w:r w:rsidR="00FA194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operating </w:t>
      </w:r>
      <w:proofErr w:type="spellStart"/>
      <w:r w:rsidR="00FA1944">
        <w:rPr>
          <w:b/>
          <w:bCs/>
          <w:color w:val="000000"/>
          <w:sz w:val="24"/>
          <w:szCs w:val="24"/>
        </w:rPr>
        <w:t>ratio</w:t>
      </w:r>
      <w:proofErr w:type="spellEnd"/>
      <w:r>
        <w:rPr>
          <w:b/>
          <w:bCs/>
          <w:color w:val="000000"/>
          <w:sz w:val="24"/>
          <w:szCs w:val="24"/>
        </w:rPr>
        <w:t xml:space="preserve"> (COR</w:t>
      </w:r>
      <w:r w:rsidR="00FA1944" w:rsidRPr="000005A2">
        <w:rPr>
          <w:b/>
          <w:bCs/>
          <w:color w:val="000000"/>
          <w:sz w:val="24"/>
          <w:szCs w:val="24"/>
        </w:rPr>
        <w:t xml:space="preserve">) </w:t>
      </w:r>
      <w:r w:rsidR="00936248">
        <w:rPr>
          <w:b/>
          <w:bCs/>
          <w:color w:val="000000"/>
          <w:sz w:val="24"/>
          <w:szCs w:val="24"/>
        </w:rPr>
        <w:t xml:space="preserve">var </w:t>
      </w:r>
      <w:r w:rsidR="00FA1944" w:rsidRPr="000005A2">
        <w:rPr>
          <w:b/>
          <w:bCs/>
          <w:color w:val="000000"/>
          <w:sz w:val="24"/>
          <w:szCs w:val="24"/>
        </w:rPr>
        <w:t>8</w:t>
      </w:r>
      <w:r w:rsidR="00E93F06">
        <w:rPr>
          <w:b/>
          <w:bCs/>
          <w:color w:val="000000"/>
          <w:sz w:val="24"/>
          <w:szCs w:val="24"/>
        </w:rPr>
        <w:t>6</w:t>
      </w:r>
      <w:r w:rsidR="00FA1944" w:rsidRPr="000005A2">
        <w:rPr>
          <w:b/>
          <w:bCs/>
          <w:color w:val="000000"/>
          <w:sz w:val="24"/>
          <w:szCs w:val="24"/>
        </w:rPr>
        <w:t>,</w:t>
      </w:r>
      <w:r w:rsidR="00E93F06">
        <w:rPr>
          <w:b/>
          <w:bCs/>
          <w:color w:val="000000"/>
          <w:sz w:val="24"/>
          <w:szCs w:val="24"/>
        </w:rPr>
        <w:t>2</w:t>
      </w:r>
      <w:r w:rsidR="00FA1944" w:rsidRPr="000005A2">
        <w:rPr>
          <w:b/>
          <w:bCs/>
          <w:color w:val="000000"/>
          <w:sz w:val="24"/>
          <w:szCs w:val="24"/>
        </w:rPr>
        <w:t xml:space="preserve"> % enligt </w:t>
      </w:r>
      <w:proofErr w:type="spellStart"/>
      <w:r w:rsidR="00FA1944" w:rsidRPr="000005A2">
        <w:rPr>
          <w:b/>
          <w:bCs/>
          <w:color w:val="000000"/>
          <w:sz w:val="24"/>
          <w:szCs w:val="24"/>
        </w:rPr>
        <w:t>IFRS-standard</w:t>
      </w:r>
      <w:proofErr w:type="spellEnd"/>
      <w:r w:rsidR="00936248">
        <w:rPr>
          <w:b/>
          <w:bCs/>
          <w:color w:val="000000"/>
          <w:sz w:val="24"/>
          <w:szCs w:val="24"/>
        </w:rPr>
        <w:t xml:space="preserve"> (COR var </w:t>
      </w:r>
      <w:r w:rsidR="00FA1944" w:rsidRPr="000005A2">
        <w:rPr>
          <w:b/>
          <w:bCs/>
          <w:color w:val="000000"/>
          <w:sz w:val="24"/>
          <w:szCs w:val="24"/>
        </w:rPr>
        <w:t>8</w:t>
      </w:r>
      <w:r w:rsidR="00E93F06">
        <w:rPr>
          <w:b/>
          <w:bCs/>
          <w:color w:val="000000"/>
          <w:sz w:val="24"/>
          <w:szCs w:val="24"/>
        </w:rPr>
        <w:t>7</w:t>
      </w:r>
      <w:r w:rsidR="00FA1944" w:rsidRPr="000005A2">
        <w:rPr>
          <w:b/>
          <w:bCs/>
          <w:color w:val="000000"/>
          <w:sz w:val="24"/>
          <w:szCs w:val="24"/>
        </w:rPr>
        <w:t>,</w:t>
      </w:r>
      <w:r w:rsidR="00E93F06">
        <w:rPr>
          <w:b/>
          <w:bCs/>
          <w:color w:val="000000"/>
          <w:sz w:val="24"/>
          <w:szCs w:val="24"/>
        </w:rPr>
        <w:t>7</w:t>
      </w:r>
      <w:r w:rsidR="00FA1944" w:rsidRPr="000005A2">
        <w:rPr>
          <w:b/>
          <w:bCs/>
          <w:color w:val="000000"/>
          <w:sz w:val="24"/>
          <w:szCs w:val="24"/>
        </w:rPr>
        <w:t xml:space="preserve"> % </w:t>
      </w:r>
      <w:r w:rsidR="00936248">
        <w:rPr>
          <w:b/>
          <w:bCs/>
          <w:color w:val="000000"/>
          <w:sz w:val="24"/>
          <w:szCs w:val="24"/>
        </w:rPr>
        <w:t xml:space="preserve">under </w:t>
      </w:r>
      <w:r w:rsidR="00DE6963">
        <w:rPr>
          <w:b/>
          <w:bCs/>
          <w:color w:val="000000"/>
          <w:sz w:val="24"/>
          <w:szCs w:val="24"/>
        </w:rPr>
        <w:t>motsvarande period 2008</w:t>
      </w:r>
      <w:r w:rsidR="00936248">
        <w:rPr>
          <w:b/>
          <w:bCs/>
          <w:color w:val="000000"/>
          <w:sz w:val="24"/>
          <w:szCs w:val="24"/>
        </w:rPr>
        <w:t>)</w:t>
      </w:r>
      <w:r w:rsidR="00FA1944" w:rsidRPr="000005A2">
        <w:rPr>
          <w:b/>
          <w:bCs/>
          <w:color w:val="000000"/>
          <w:sz w:val="24"/>
          <w:szCs w:val="24"/>
        </w:rPr>
        <w:t>.</w:t>
      </w:r>
    </w:p>
    <w:p w:rsidR="0075239D" w:rsidRDefault="0075239D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D66B8" w:rsidRDefault="00E93F06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Trygg-Hansa/Codan förbättrade sitt </w:t>
      </w:r>
      <w:proofErr w:type="spellStart"/>
      <w:r>
        <w:rPr>
          <w:color w:val="000000"/>
          <w:sz w:val="24"/>
          <w:szCs w:val="24"/>
        </w:rPr>
        <w:t>u</w:t>
      </w:r>
      <w:r w:rsidR="00FA1944">
        <w:rPr>
          <w:color w:val="000000"/>
          <w:sz w:val="24"/>
          <w:szCs w:val="24"/>
        </w:rPr>
        <w:t>nderwritingresultat</w:t>
      </w:r>
      <w:proofErr w:type="spellEnd"/>
      <w:r w:rsidR="00FA1944">
        <w:rPr>
          <w:color w:val="000000"/>
          <w:sz w:val="24"/>
          <w:szCs w:val="24"/>
        </w:rPr>
        <w:t xml:space="preserve"> med </w:t>
      </w:r>
      <w:r>
        <w:rPr>
          <w:color w:val="000000"/>
          <w:sz w:val="24"/>
          <w:szCs w:val="24"/>
        </w:rPr>
        <w:t>26</w:t>
      </w:r>
      <w:r w:rsidR="00FA1944">
        <w:rPr>
          <w:color w:val="000000"/>
          <w:sz w:val="24"/>
          <w:szCs w:val="24"/>
        </w:rPr>
        <w:t xml:space="preserve"> % till </w:t>
      </w:r>
      <w:r w:rsidR="000B3115">
        <w:rPr>
          <w:color w:val="000000"/>
          <w:sz w:val="24"/>
          <w:szCs w:val="24"/>
        </w:rPr>
        <w:t xml:space="preserve">1,283 </w:t>
      </w:r>
      <w:proofErr w:type="spellStart"/>
      <w:r w:rsidR="000B3115">
        <w:rPr>
          <w:color w:val="000000"/>
          <w:sz w:val="24"/>
          <w:szCs w:val="24"/>
        </w:rPr>
        <w:t>mSEK</w:t>
      </w:r>
      <w:proofErr w:type="spellEnd"/>
      <w:r w:rsidR="000B3115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880</w:t>
      </w:r>
      <w:r w:rsidR="00FA1944">
        <w:rPr>
          <w:color w:val="000000"/>
          <w:sz w:val="24"/>
          <w:szCs w:val="24"/>
        </w:rPr>
        <w:t xml:space="preserve"> </w:t>
      </w:r>
      <w:proofErr w:type="spellStart"/>
      <w:r w:rsidR="00FA1944">
        <w:rPr>
          <w:color w:val="000000"/>
          <w:sz w:val="24"/>
          <w:szCs w:val="24"/>
        </w:rPr>
        <w:t>mDKK</w:t>
      </w:r>
      <w:proofErr w:type="spellEnd"/>
      <w:r w:rsidR="000B3115">
        <w:rPr>
          <w:color w:val="000000"/>
          <w:sz w:val="24"/>
          <w:szCs w:val="24"/>
        </w:rPr>
        <w:t>)</w:t>
      </w:r>
      <w:r w:rsidR="00FA1944">
        <w:rPr>
          <w:bCs/>
          <w:color w:val="000000"/>
          <w:sz w:val="24"/>
          <w:szCs w:val="24"/>
        </w:rPr>
        <w:t xml:space="preserve">, samtidigt som </w:t>
      </w:r>
      <w:r w:rsidR="004B7619">
        <w:rPr>
          <w:bCs/>
          <w:color w:val="000000"/>
          <w:sz w:val="24"/>
          <w:szCs w:val="24"/>
        </w:rPr>
        <w:t>COR</w:t>
      </w:r>
      <w:r>
        <w:rPr>
          <w:bCs/>
          <w:color w:val="000000"/>
          <w:sz w:val="24"/>
          <w:szCs w:val="24"/>
        </w:rPr>
        <w:t xml:space="preserve"> förbättrades med 1,5</w:t>
      </w:r>
      <w:r w:rsidR="00FA1944">
        <w:rPr>
          <w:bCs/>
          <w:color w:val="000000"/>
          <w:sz w:val="24"/>
          <w:szCs w:val="24"/>
        </w:rPr>
        <w:t xml:space="preserve"> </w:t>
      </w:r>
      <w:proofErr w:type="gramStart"/>
      <w:r w:rsidR="0023155E">
        <w:rPr>
          <w:bCs/>
          <w:color w:val="000000"/>
          <w:sz w:val="24"/>
          <w:szCs w:val="24"/>
        </w:rPr>
        <w:t xml:space="preserve">% </w:t>
      </w:r>
      <w:r w:rsidR="00FA1944">
        <w:rPr>
          <w:bCs/>
          <w:color w:val="000000"/>
          <w:sz w:val="24"/>
          <w:szCs w:val="24"/>
        </w:rPr>
        <w:t xml:space="preserve"> till</w:t>
      </w:r>
      <w:proofErr w:type="gramEnd"/>
      <w:r w:rsidR="00FA1944">
        <w:rPr>
          <w:bCs/>
          <w:color w:val="000000"/>
          <w:sz w:val="24"/>
          <w:szCs w:val="24"/>
        </w:rPr>
        <w:t xml:space="preserve"> 8</w:t>
      </w:r>
      <w:r>
        <w:rPr>
          <w:bCs/>
          <w:color w:val="000000"/>
          <w:sz w:val="24"/>
          <w:szCs w:val="24"/>
        </w:rPr>
        <w:t>6</w:t>
      </w:r>
      <w:r w:rsidR="00FA1944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2</w:t>
      </w:r>
      <w:r w:rsidR="00FA1944">
        <w:rPr>
          <w:bCs/>
          <w:color w:val="000000"/>
          <w:sz w:val="24"/>
          <w:szCs w:val="24"/>
        </w:rPr>
        <w:t xml:space="preserve"> %.</w:t>
      </w:r>
    </w:p>
    <w:p w:rsidR="004D66B8" w:rsidRDefault="004D66B8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D66B8" w:rsidRDefault="004D66B8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FA1944">
        <w:rPr>
          <w:color w:val="000000"/>
          <w:sz w:val="24"/>
          <w:szCs w:val="24"/>
        </w:rPr>
        <w:t xml:space="preserve">Vi har </w:t>
      </w:r>
      <w:r w:rsidR="00E93F06">
        <w:rPr>
          <w:color w:val="000000"/>
          <w:sz w:val="24"/>
          <w:szCs w:val="24"/>
        </w:rPr>
        <w:t xml:space="preserve">återigen </w:t>
      </w:r>
      <w:r w:rsidR="00FA1944">
        <w:rPr>
          <w:color w:val="000000"/>
          <w:sz w:val="24"/>
          <w:szCs w:val="24"/>
        </w:rPr>
        <w:t xml:space="preserve">lyckats </w:t>
      </w:r>
      <w:r w:rsidR="008B17E6" w:rsidRPr="0034678A">
        <w:rPr>
          <w:color w:val="000000"/>
          <w:sz w:val="24"/>
          <w:szCs w:val="24"/>
        </w:rPr>
        <w:t>åstadkomm</w:t>
      </w:r>
      <w:r w:rsidR="00E93F06">
        <w:rPr>
          <w:color w:val="000000"/>
          <w:sz w:val="24"/>
          <w:szCs w:val="24"/>
        </w:rPr>
        <w:t>a</w:t>
      </w:r>
      <w:r w:rsidR="008B17E6">
        <w:rPr>
          <w:color w:val="000000"/>
          <w:sz w:val="24"/>
          <w:szCs w:val="24"/>
        </w:rPr>
        <w:t xml:space="preserve"> ett starkt resultat</w:t>
      </w:r>
      <w:r w:rsidR="006E5937">
        <w:rPr>
          <w:color w:val="000000"/>
          <w:sz w:val="24"/>
          <w:szCs w:val="24"/>
        </w:rPr>
        <w:t>. T</w:t>
      </w:r>
      <w:r w:rsidR="00E93F06">
        <w:rPr>
          <w:color w:val="000000"/>
          <w:sz w:val="24"/>
          <w:szCs w:val="24"/>
        </w:rPr>
        <w:t xml:space="preserve">rots </w:t>
      </w:r>
      <w:r w:rsidR="006E5937">
        <w:rPr>
          <w:color w:val="000000"/>
          <w:sz w:val="24"/>
          <w:szCs w:val="24"/>
        </w:rPr>
        <w:t>utmanande marknadsförutsättningar</w:t>
      </w:r>
      <w:r w:rsidR="002A3FC8">
        <w:rPr>
          <w:color w:val="000000"/>
          <w:sz w:val="24"/>
          <w:szCs w:val="24"/>
        </w:rPr>
        <w:t xml:space="preserve"> </w:t>
      </w:r>
      <w:r w:rsidR="00E93F06">
        <w:rPr>
          <w:color w:val="000000"/>
          <w:sz w:val="24"/>
          <w:szCs w:val="24"/>
        </w:rPr>
        <w:t>så f</w:t>
      </w:r>
      <w:r w:rsidR="00AF7EBB">
        <w:rPr>
          <w:color w:val="000000"/>
          <w:sz w:val="24"/>
          <w:szCs w:val="24"/>
        </w:rPr>
        <w:t xml:space="preserve">örbättrar </w:t>
      </w:r>
      <w:r w:rsidR="00E93F06">
        <w:rPr>
          <w:color w:val="000000"/>
          <w:sz w:val="24"/>
          <w:szCs w:val="24"/>
        </w:rPr>
        <w:t xml:space="preserve">vi </w:t>
      </w:r>
      <w:r w:rsidR="00AF7EBB">
        <w:rPr>
          <w:color w:val="000000"/>
          <w:sz w:val="24"/>
          <w:szCs w:val="24"/>
        </w:rPr>
        <w:t>vår lönsamhet</w:t>
      </w:r>
      <w:r w:rsidR="00E93F06">
        <w:rPr>
          <w:color w:val="000000"/>
          <w:sz w:val="24"/>
          <w:szCs w:val="24"/>
        </w:rPr>
        <w:t xml:space="preserve"> och </w:t>
      </w:r>
      <w:r w:rsidR="006E5937">
        <w:rPr>
          <w:color w:val="000000"/>
          <w:sz w:val="24"/>
          <w:szCs w:val="24"/>
        </w:rPr>
        <w:t xml:space="preserve">vi vidtar </w:t>
      </w:r>
      <w:r w:rsidR="00E93F06">
        <w:rPr>
          <w:color w:val="000000"/>
          <w:sz w:val="24"/>
          <w:szCs w:val="24"/>
        </w:rPr>
        <w:t xml:space="preserve">åtgärder </w:t>
      </w:r>
      <w:r w:rsidR="006E5937">
        <w:rPr>
          <w:color w:val="000000"/>
          <w:sz w:val="24"/>
          <w:szCs w:val="24"/>
        </w:rPr>
        <w:t xml:space="preserve">för att </w:t>
      </w:r>
      <w:r w:rsidR="00E93F06">
        <w:rPr>
          <w:color w:val="000000"/>
          <w:sz w:val="24"/>
          <w:szCs w:val="24"/>
        </w:rPr>
        <w:t xml:space="preserve">säkerställa </w:t>
      </w:r>
      <w:r w:rsidR="006E5937">
        <w:rPr>
          <w:color w:val="000000"/>
          <w:sz w:val="24"/>
          <w:szCs w:val="24"/>
        </w:rPr>
        <w:t>d</w:t>
      </w:r>
      <w:r w:rsidR="00E93F06">
        <w:rPr>
          <w:color w:val="000000"/>
          <w:sz w:val="24"/>
          <w:szCs w:val="24"/>
        </w:rPr>
        <w:t xml:space="preserve">en </w:t>
      </w:r>
      <w:r w:rsidR="006E5937">
        <w:rPr>
          <w:color w:val="000000"/>
          <w:sz w:val="24"/>
          <w:szCs w:val="24"/>
        </w:rPr>
        <w:t xml:space="preserve">långsiktiga </w:t>
      </w:r>
      <w:r w:rsidR="00E93F06">
        <w:rPr>
          <w:color w:val="000000"/>
          <w:sz w:val="24"/>
          <w:szCs w:val="24"/>
        </w:rPr>
        <w:t>lönsam</w:t>
      </w:r>
      <w:r w:rsidR="006E5937">
        <w:rPr>
          <w:color w:val="000000"/>
          <w:sz w:val="24"/>
          <w:szCs w:val="24"/>
        </w:rPr>
        <w:t>ma</w:t>
      </w:r>
      <w:r w:rsidR="00E93F06">
        <w:rPr>
          <w:color w:val="000000"/>
          <w:sz w:val="24"/>
          <w:szCs w:val="24"/>
        </w:rPr>
        <w:t xml:space="preserve"> tillväxt</w:t>
      </w:r>
      <w:r w:rsidR="006E5937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, </w:t>
      </w:r>
      <w:r w:rsidR="00263E39">
        <w:rPr>
          <w:color w:val="000000"/>
          <w:sz w:val="24"/>
          <w:szCs w:val="24"/>
        </w:rPr>
        <w:t xml:space="preserve">säger </w:t>
      </w:r>
      <w:r w:rsidR="00FA1944">
        <w:rPr>
          <w:color w:val="000000"/>
          <w:sz w:val="24"/>
          <w:szCs w:val="24"/>
        </w:rPr>
        <w:t>Rickard Gustafson, koncer</w:t>
      </w:r>
      <w:r w:rsidR="008B17E6">
        <w:rPr>
          <w:color w:val="000000"/>
          <w:sz w:val="24"/>
          <w:szCs w:val="24"/>
        </w:rPr>
        <w:t xml:space="preserve">nchef för Trygg-Hansa/Codan. </w:t>
      </w:r>
    </w:p>
    <w:p w:rsidR="008B17E6" w:rsidRDefault="008B17E6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D66B8" w:rsidRDefault="00936248" w:rsidP="000C2DD1">
      <w:pPr>
        <w:rPr>
          <w:bCs/>
          <w:color w:val="000000"/>
          <w:sz w:val="24"/>
          <w:szCs w:val="24"/>
        </w:rPr>
      </w:pPr>
      <w:r>
        <w:rPr>
          <w:rStyle w:val="heading11"/>
          <w:rFonts w:ascii="Times New Roman" w:hAnsi="Times New Roman" w:cs="Arial"/>
          <w:b w:val="0"/>
          <w:sz w:val="24"/>
          <w:szCs w:val="24"/>
        </w:rPr>
        <w:t>D</w:t>
      </w:r>
      <w:r w:rsidR="008B17E6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ivisionen för privatförsäkringar </w:t>
      </w:r>
      <w:r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levererade starkt och </w:t>
      </w:r>
      <w:r w:rsidR="008B17E6">
        <w:rPr>
          <w:rStyle w:val="heading11"/>
          <w:rFonts w:ascii="Times New Roman" w:hAnsi="Times New Roman" w:cs="Arial"/>
          <w:b w:val="0"/>
          <w:sz w:val="24"/>
          <w:szCs w:val="24"/>
        </w:rPr>
        <w:t>premie</w:t>
      </w:r>
      <w:r w:rsidR="000005A2">
        <w:rPr>
          <w:rStyle w:val="heading11"/>
          <w:rFonts w:ascii="Times New Roman" w:hAnsi="Times New Roman" w:cs="Arial"/>
          <w:b w:val="0"/>
          <w:sz w:val="24"/>
          <w:szCs w:val="24"/>
        </w:rPr>
        <w:t>rna</w:t>
      </w:r>
      <w:r w:rsidR="008B17E6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</w:t>
      </w:r>
      <w:r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ökade </w:t>
      </w:r>
      <w:r w:rsidR="008B17E6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med </w:t>
      </w:r>
      <w:r w:rsidR="00E156AA">
        <w:rPr>
          <w:rStyle w:val="heading11"/>
          <w:rFonts w:ascii="Times New Roman" w:hAnsi="Times New Roman" w:cs="Arial"/>
          <w:b w:val="0"/>
          <w:sz w:val="24"/>
          <w:szCs w:val="24"/>
        </w:rPr>
        <w:t>3</w:t>
      </w:r>
      <w:r w:rsidR="002869B4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</w:t>
      </w:r>
      <w:r w:rsidR="00E156AA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% </w:t>
      </w:r>
      <w:r w:rsidR="006E5937">
        <w:rPr>
          <w:rStyle w:val="heading11"/>
          <w:rFonts w:ascii="Times New Roman" w:hAnsi="Times New Roman" w:cs="Arial"/>
          <w:b w:val="0"/>
          <w:sz w:val="24"/>
          <w:szCs w:val="24"/>
        </w:rPr>
        <w:t>i konstant valuta</w:t>
      </w:r>
      <w:r w:rsidR="00E156AA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</w:t>
      </w:r>
      <w:r w:rsidR="008B17E6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till </w:t>
      </w:r>
      <w:r w:rsidR="00E156AA" w:rsidRPr="00E156AA">
        <w:rPr>
          <w:bCs/>
          <w:color w:val="000000"/>
          <w:sz w:val="24"/>
          <w:szCs w:val="24"/>
        </w:rPr>
        <w:t>6,356</w:t>
      </w:r>
      <w:r w:rsidR="006E5937">
        <w:rPr>
          <w:bCs/>
          <w:color w:val="000000"/>
          <w:sz w:val="24"/>
          <w:szCs w:val="24"/>
        </w:rPr>
        <w:t xml:space="preserve"> </w:t>
      </w:r>
      <w:proofErr w:type="spellStart"/>
      <w:r w:rsidR="00E156AA" w:rsidRPr="00E156AA">
        <w:rPr>
          <w:bCs/>
          <w:color w:val="000000"/>
          <w:sz w:val="24"/>
          <w:szCs w:val="24"/>
        </w:rPr>
        <w:t>mSEK</w:t>
      </w:r>
      <w:proofErr w:type="spellEnd"/>
      <w:r w:rsidR="00E156AA">
        <w:rPr>
          <w:bCs/>
          <w:color w:val="000000"/>
          <w:sz w:val="24"/>
          <w:szCs w:val="24"/>
        </w:rPr>
        <w:t xml:space="preserve"> (</w:t>
      </w:r>
      <w:r w:rsidR="00E156AA" w:rsidRPr="00E156AA">
        <w:rPr>
          <w:rStyle w:val="heading11"/>
          <w:rFonts w:ascii="Times New Roman" w:hAnsi="Times New Roman"/>
          <w:b w:val="0"/>
          <w:sz w:val="24"/>
          <w:szCs w:val="24"/>
        </w:rPr>
        <w:t xml:space="preserve">4,358 </w:t>
      </w:r>
      <w:proofErr w:type="spellStart"/>
      <w:r w:rsidR="00E156AA" w:rsidRPr="00E156AA">
        <w:rPr>
          <w:rStyle w:val="heading11"/>
          <w:rFonts w:ascii="Times New Roman" w:hAnsi="Times New Roman"/>
          <w:b w:val="0"/>
          <w:sz w:val="24"/>
          <w:szCs w:val="24"/>
        </w:rPr>
        <w:t>mDKK</w:t>
      </w:r>
      <w:proofErr w:type="spellEnd"/>
      <w:r w:rsidR="00E156AA">
        <w:rPr>
          <w:rStyle w:val="heading11"/>
          <w:rFonts w:ascii="Times New Roman" w:hAnsi="Times New Roman"/>
          <w:b w:val="0"/>
          <w:sz w:val="24"/>
          <w:szCs w:val="24"/>
        </w:rPr>
        <w:t>)</w:t>
      </w:r>
      <w:r w:rsidR="00E40177">
        <w:rPr>
          <w:bCs/>
          <w:color w:val="000000"/>
          <w:sz w:val="24"/>
          <w:szCs w:val="24"/>
        </w:rPr>
        <w:t xml:space="preserve">, vilket </w:t>
      </w:r>
      <w:r w:rsidR="00410353">
        <w:rPr>
          <w:bCs/>
          <w:color w:val="000000"/>
          <w:sz w:val="24"/>
          <w:szCs w:val="24"/>
        </w:rPr>
        <w:t>främst s</w:t>
      </w:r>
      <w:r w:rsidR="00E40177">
        <w:rPr>
          <w:bCs/>
          <w:color w:val="000000"/>
          <w:sz w:val="24"/>
          <w:szCs w:val="24"/>
        </w:rPr>
        <w:t xml:space="preserve">peglar </w:t>
      </w:r>
      <w:r w:rsidR="00410353">
        <w:rPr>
          <w:bCs/>
          <w:color w:val="000000"/>
          <w:sz w:val="24"/>
          <w:szCs w:val="24"/>
        </w:rPr>
        <w:t xml:space="preserve">en </w:t>
      </w:r>
      <w:r w:rsidR="00E40177">
        <w:rPr>
          <w:bCs/>
          <w:color w:val="000000"/>
          <w:sz w:val="24"/>
          <w:szCs w:val="24"/>
        </w:rPr>
        <w:t>stark tillväxt</w:t>
      </w:r>
      <w:r w:rsidR="00603DCD">
        <w:rPr>
          <w:bCs/>
          <w:color w:val="000000"/>
          <w:sz w:val="24"/>
          <w:szCs w:val="24"/>
        </w:rPr>
        <w:t xml:space="preserve"> inom </w:t>
      </w:r>
      <w:r w:rsidR="006E5937">
        <w:rPr>
          <w:bCs/>
          <w:color w:val="000000"/>
          <w:sz w:val="24"/>
          <w:szCs w:val="24"/>
        </w:rPr>
        <w:t xml:space="preserve">motor och olycksfall, liksom försäljning via internet, </w:t>
      </w:r>
      <w:proofErr w:type="spellStart"/>
      <w:r w:rsidR="00952BCD">
        <w:rPr>
          <w:bCs/>
          <w:color w:val="000000"/>
          <w:sz w:val="24"/>
          <w:szCs w:val="24"/>
        </w:rPr>
        <w:t>bilåterförsäljare</w:t>
      </w:r>
      <w:proofErr w:type="spellEnd"/>
      <w:r w:rsidR="007A3C9E">
        <w:rPr>
          <w:bCs/>
          <w:color w:val="000000"/>
          <w:sz w:val="24"/>
          <w:szCs w:val="24"/>
        </w:rPr>
        <w:t xml:space="preserve"> och </w:t>
      </w:r>
      <w:r w:rsidR="00E40177">
        <w:rPr>
          <w:bCs/>
          <w:color w:val="000000"/>
          <w:sz w:val="24"/>
          <w:szCs w:val="24"/>
        </w:rPr>
        <w:t>WLI</w:t>
      </w:r>
      <w:r w:rsidR="00952BCD">
        <w:rPr>
          <w:bCs/>
          <w:color w:val="000000"/>
          <w:sz w:val="24"/>
          <w:szCs w:val="24"/>
        </w:rPr>
        <w:t>.</w:t>
      </w:r>
    </w:p>
    <w:p w:rsidR="00952BCD" w:rsidRDefault="00952BCD" w:rsidP="000C2DD1">
      <w:pPr>
        <w:rPr>
          <w:bCs/>
          <w:color w:val="000000"/>
          <w:sz w:val="24"/>
          <w:szCs w:val="24"/>
        </w:rPr>
      </w:pPr>
    </w:p>
    <w:p w:rsidR="003774D6" w:rsidRPr="003D315A" w:rsidRDefault="006E5937" w:rsidP="000C2DD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Premierna i</w:t>
      </w:r>
      <w:r w:rsidR="00952BCD" w:rsidRPr="003D315A">
        <w:rPr>
          <w:bCs/>
          <w:color w:val="000000"/>
          <w:sz w:val="24"/>
          <w:szCs w:val="24"/>
        </w:rPr>
        <w:t xml:space="preserve">nom divisionen för företagsförsäkringar </w:t>
      </w:r>
      <w:r>
        <w:rPr>
          <w:bCs/>
          <w:color w:val="000000"/>
          <w:sz w:val="24"/>
          <w:szCs w:val="24"/>
        </w:rPr>
        <w:t xml:space="preserve">uppgick till </w:t>
      </w:r>
      <w:r w:rsidR="003D315A" w:rsidRPr="003D315A">
        <w:rPr>
          <w:bCs/>
          <w:color w:val="000000"/>
          <w:sz w:val="24"/>
          <w:szCs w:val="24"/>
        </w:rPr>
        <w:t xml:space="preserve">5,963 </w:t>
      </w:r>
      <w:proofErr w:type="spellStart"/>
      <w:r w:rsidR="003D315A" w:rsidRPr="003D315A">
        <w:rPr>
          <w:bCs/>
          <w:color w:val="000000"/>
          <w:sz w:val="24"/>
          <w:szCs w:val="24"/>
        </w:rPr>
        <w:t>mSEK</w:t>
      </w:r>
      <w:proofErr w:type="spellEnd"/>
      <w:r w:rsidR="003D315A" w:rsidRPr="003D315A">
        <w:rPr>
          <w:color w:val="000000"/>
          <w:sz w:val="24"/>
          <w:szCs w:val="24"/>
        </w:rPr>
        <w:t xml:space="preserve"> (4</w:t>
      </w:r>
      <w:r w:rsidR="003D315A" w:rsidRPr="003D315A">
        <w:rPr>
          <w:bCs/>
          <w:color w:val="000000"/>
          <w:sz w:val="24"/>
          <w:szCs w:val="24"/>
        </w:rPr>
        <w:t xml:space="preserve">,088 </w:t>
      </w:r>
      <w:proofErr w:type="spellStart"/>
      <w:r w:rsidR="003D315A" w:rsidRPr="003D315A">
        <w:rPr>
          <w:bCs/>
          <w:color w:val="000000"/>
          <w:sz w:val="24"/>
          <w:szCs w:val="24"/>
        </w:rPr>
        <w:t>mDKK</w:t>
      </w:r>
      <w:proofErr w:type="spellEnd"/>
      <w:r w:rsidR="003D315A" w:rsidRPr="003D315A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 xml:space="preserve">, </w:t>
      </w:r>
      <w:r w:rsidR="00936248">
        <w:rPr>
          <w:bCs/>
          <w:color w:val="000000"/>
          <w:sz w:val="24"/>
          <w:szCs w:val="24"/>
        </w:rPr>
        <w:t xml:space="preserve">ner </w:t>
      </w:r>
      <w:r>
        <w:rPr>
          <w:bCs/>
          <w:color w:val="000000"/>
          <w:sz w:val="24"/>
          <w:szCs w:val="24"/>
        </w:rPr>
        <w:t xml:space="preserve">med 5 </w:t>
      </w:r>
      <w:r w:rsidRPr="003D315A">
        <w:rPr>
          <w:bCs/>
          <w:color w:val="000000"/>
          <w:sz w:val="24"/>
          <w:szCs w:val="24"/>
        </w:rPr>
        <w:t xml:space="preserve">% </w:t>
      </w:r>
      <w:r>
        <w:rPr>
          <w:bCs/>
          <w:color w:val="000000"/>
          <w:sz w:val="24"/>
          <w:szCs w:val="24"/>
        </w:rPr>
        <w:t xml:space="preserve">i </w:t>
      </w:r>
      <w:r>
        <w:rPr>
          <w:rStyle w:val="heading11"/>
          <w:rFonts w:ascii="Times New Roman" w:hAnsi="Times New Roman" w:cs="Arial"/>
          <w:b w:val="0"/>
          <w:sz w:val="24"/>
          <w:szCs w:val="24"/>
        </w:rPr>
        <w:t>konstant valuta</w:t>
      </w:r>
      <w:r w:rsidR="00936248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i förhållande till föregående år</w:t>
      </w:r>
      <w:r w:rsidR="003D315A" w:rsidRPr="003D315A">
        <w:rPr>
          <w:bCs/>
          <w:color w:val="000000"/>
          <w:sz w:val="24"/>
          <w:szCs w:val="24"/>
        </w:rPr>
        <w:t>.</w:t>
      </w:r>
    </w:p>
    <w:p w:rsidR="003D315A" w:rsidRPr="003D315A" w:rsidRDefault="003D315A" w:rsidP="000C2DD1">
      <w:pPr>
        <w:rPr>
          <w:bCs/>
          <w:color w:val="000000"/>
          <w:sz w:val="24"/>
          <w:szCs w:val="24"/>
        </w:rPr>
      </w:pPr>
    </w:p>
    <w:p w:rsidR="00952BCD" w:rsidRDefault="00A825DE" w:rsidP="00952B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Vår </w:t>
      </w:r>
      <w:r w:rsidR="00952BCD">
        <w:rPr>
          <w:color w:val="000000"/>
          <w:sz w:val="24"/>
          <w:szCs w:val="24"/>
        </w:rPr>
        <w:t xml:space="preserve">starka marknadsposition inom områden som marinförsäkringar och </w:t>
      </w:r>
      <w:r>
        <w:rPr>
          <w:color w:val="000000"/>
          <w:sz w:val="24"/>
          <w:szCs w:val="24"/>
        </w:rPr>
        <w:t>vind</w:t>
      </w:r>
      <w:r w:rsidR="00952BCD">
        <w:rPr>
          <w:color w:val="000000"/>
          <w:sz w:val="24"/>
          <w:szCs w:val="24"/>
        </w:rPr>
        <w:t>energi v</w:t>
      </w:r>
      <w:r>
        <w:rPr>
          <w:color w:val="000000"/>
          <w:sz w:val="24"/>
          <w:szCs w:val="24"/>
        </w:rPr>
        <w:t>isar att</w:t>
      </w:r>
      <w:r w:rsidR="001628F3">
        <w:rPr>
          <w:color w:val="000000"/>
          <w:sz w:val="24"/>
          <w:szCs w:val="24"/>
        </w:rPr>
        <w:t xml:space="preserve"> den </w:t>
      </w:r>
      <w:r>
        <w:rPr>
          <w:color w:val="000000"/>
          <w:sz w:val="24"/>
          <w:szCs w:val="24"/>
        </w:rPr>
        <w:t>globala koppling</w:t>
      </w:r>
      <w:r w:rsidR="001628F3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</w:t>
      </w:r>
      <w:r w:rsidR="00952BCD">
        <w:rPr>
          <w:color w:val="000000"/>
          <w:sz w:val="24"/>
          <w:szCs w:val="24"/>
        </w:rPr>
        <w:t xml:space="preserve">till </w:t>
      </w:r>
      <w:r w:rsidR="001628F3">
        <w:rPr>
          <w:color w:val="000000"/>
          <w:sz w:val="24"/>
          <w:szCs w:val="24"/>
        </w:rPr>
        <w:t xml:space="preserve">vårt moderbolag </w:t>
      </w:r>
      <w:r w:rsidR="00952BCD">
        <w:rPr>
          <w:color w:val="000000"/>
          <w:sz w:val="24"/>
          <w:szCs w:val="24"/>
        </w:rPr>
        <w:t xml:space="preserve">RSA ger oss </w:t>
      </w:r>
      <w:r>
        <w:rPr>
          <w:color w:val="000000"/>
          <w:sz w:val="24"/>
          <w:szCs w:val="24"/>
        </w:rPr>
        <w:t xml:space="preserve">stora </w:t>
      </w:r>
      <w:r w:rsidR="00952BCD">
        <w:rPr>
          <w:color w:val="000000"/>
          <w:sz w:val="24"/>
          <w:szCs w:val="24"/>
        </w:rPr>
        <w:t>fördelar i</w:t>
      </w:r>
      <w:r>
        <w:rPr>
          <w:color w:val="000000"/>
          <w:sz w:val="24"/>
          <w:szCs w:val="24"/>
        </w:rPr>
        <w:t xml:space="preserve"> förhållande till </w:t>
      </w:r>
      <w:r w:rsidR="006E5937">
        <w:rPr>
          <w:color w:val="000000"/>
          <w:sz w:val="24"/>
          <w:szCs w:val="24"/>
        </w:rPr>
        <w:t>våra lokala konkurrenter</w:t>
      </w:r>
      <w:r w:rsidR="00952BCD">
        <w:rPr>
          <w:color w:val="000000"/>
          <w:sz w:val="24"/>
          <w:szCs w:val="24"/>
        </w:rPr>
        <w:t xml:space="preserve"> </w:t>
      </w:r>
      <w:r w:rsidR="008B3CA3">
        <w:rPr>
          <w:color w:val="000000"/>
          <w:sz w:val="24"/>
          <w:szCs w:val="24"/>
        </w:rPr>
        <w:t>inom Skandinavien</w:t>
      </w:r>
      <w:r w:rsidR="00952BCD">
        <w:rPr>
          <w:color w:val="000000"/>
          <w:sz w:val="24"/>
          <w:szCs w:val="24"/>
        </w:rPr>
        <w:t>, säger Rickard Gustafson.</w:t>
      </w:r>
    </w:p>
    <w:p w:rsidR="00CC6DBD" w:rsidRDefault="00CC6DBD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75239D" w:rsidRPr="00A825DE" w:rsidRDefault="0075239D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AD42A5" w:rsidRPr="00AD42A5" w:rsidRDefault="00AD42A5" w:rsidP="00AD42A5">
      <w:pPr>
        <w:pStyle w:val="NoParagraphStyle"/>
        <w:suppressAutoHyphens/>
        <w:rPr>
          <w:rFonts w:ascii="Times New Roman" w:hAnsi="Times New Roman" w:cs="Times New Roman"/>
          <w:sz w:val="20"/>
          <w:szCs w:val="16"/>
        </w:rPr>
      </w:pPr>
      <w:r w:rsidRPr="00AD42A5">
        <w:rPr>
          <w:rFonts w:ascii="Times New Roman" w:hAnsi="Times New Roman" w:cs="Times New Roman"/>
          <w:sz w:val="20"/>
          <w:szCs w:val="16"/>
        </w:rPr>
        <w:t>*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Pr="00AD42A5">
        <w:rPr>
          <w:rFonts w:ascii="Times New Roman" w:hAnsi="Times New Roman" w:cs="Times New Roman"/>
          <w:sz w:val="20"/>
          <w:szCs w:val="16"/>
        </w:rPr>
        <w:t>Siffror</w:t>
      </w:r>
      <w:r w:rsidR="003B4DAB">
        <w:rPr>
          <w:rFonts w:ascii="Times New Roman" w:hAnsi="Times New Roman" w:cs="Times New Roman"/>
          <w:sz w:val="20"/>
          <w:szCs w:val="16"/>
        </w:rPr>
        <w:t>na</w:t>
      </w:r>
      <w:r w:rsidRPr="00AD42A5">
        <w:rPr>
          <w:rFonts w:ascii="Times New Roman" w:hAnsi="Times New Roman" w:cs="Times New Roman"/>
          <w:sz w:val="20"/>
          <w:szCs w:val="16"/>
        </w:rPr>
        <w:t xml:space="preserve"> </w:t>
      </w:r>
      <w:r w:rsidR="003B4DAB">
        <w:rPr>
          <w:rFonts w:ascii="Times New Roman" w:hAnsi="Times New Roman" w:cs="Times New Roman"/>
          <w:sz w:val="20"/>
          <w:szCs w:val="16"/>
        </w:rPr>
        <w:t>från 200</w:t>
      </w:r>
      <w:r w:rsidR="00DE6963">
        <w:rPr>
          <w:rFonts w:ascii="Times New Roman" w:hAnsi="Times New Roman" w:cs="Times New Roman"/>
          <w:sz w:val="20"/>
          <w:szCs w:val="16"/>
        </w:rPr>
        <w:t>8</w:t>
      </w:r>
      <w:r w:rsidR="003B4DAB">
        <w:rPr>
          <w:rFonts w:ascii="Times New Roman" w:hAnsi="Times New Roman" w:cs="Times New Roman"/>
          <w:sz w:val="20"/>
          <w:szCs w:val="16"/>
        </w:rPr>
        <w:t xml:space="preserve"> </w:t>
      </w:r>
      <w:r w:rsidRPr="00AD42A5">
        <w:rPr>
          <w:rFonts w:ascii="Times New Roman" w:hAnsi="Times New Roman" w:cs="Times New Roman"/>
          <w:sz w:val="20"/>
          <w:szCs w:val="16"/>
        </w:rPr>
        <w:t xml:space="preserve">visas </w:t>
      </w:r>
      <w:r w:rsidRPr="00AD42A5">
        <w:rPr>
          <w:rFonts w:ascii="Times New Roman" w:hAnsi="Times New Roman" w:cs="Times New Roman"/>
          <w:color w:val="auto"/>
          <w:sz w:val="20"/>
          <w:szCs w:val="16"/>
        </w:rPr>
        <w:t>i konstanta valutakurser</w:t>
      </w:r>
      <w:r w:rsidRPr="00AD42A5">
        <w:rPr>
          <w:rFonts w:ascii="Times New Roman" w:hAnsi="Times New Roman" w:cs="Times New Roman"/>
          <w:sz w:val="20"/>
          <w:szCs w:val="1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409"/>
        <w:gridCol w:w="2410"/>
        <w:gridCol w:w="2410"/>
      </w:tblGrid>
      <w:tr w:rsidR="00426467" w:rsidRPr="00F844B1" w:rsidTr="00CC6DBD">
        <w:tc>
          <w:tcPr>
            <w:tcW w:w="1668" w:type="dxa"/>
          </w:tcPr>
          <w:p w:rsidR="00426467" w:rsidRPr="00AD42A5" w:rsidRDefault="00426467" w:rsidP="003A6ADB">
            <w:pPr>
              <w:pStyle w:val="Brd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6467" w:rsidRPr="004B7619" w:rsidRDefault="004B7619" w:rsidP="004B7619">
            <w:pPr>
              <w:pStyle w:val="Brdtext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4B7619">
              <w:rPr>
                <w:rFonts w:ascii="Verdana" w:hAnsi="Verdana"/>
                <w:sz w:val="18"/>
                <w:szCs w:val="18"/>
                <w:lang w:val="en-US"/>
              </w:rPr>
              <w:t>Första</w:t>
            </w:r>
            <w:proofErr w:type="spellEnd"/>
            <w:r w:rsidRPr="004B761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619">
              <w:rPr>
                <w:rFonts w:ascii="Verdana" w:hAnsi="Verdana"/>
                <w:sz w:val="18"/>
                <w:szCs w:val="18"/>
                <w:lang w:val="en-US"/>
              </w:rPr>
              <w:t>halvåret</w:t>
            </w:r>
            <w:proofErr w:type="spellEnd"/>
            <w:r w:rsidR="00426467" w:rsidRPr="004B7619">
              <w:rPr>
                <w:rFonts w:ascii="Verdana" w:hAnsi="Verdana"/>
                <w:sz w:val="18"/>
                <w:szCs w:val="18"/>
                <w:lang w:val="en-US"/>
              </w:rPr>
              <w:t xml:space="preserve"> 200</w:t>
            </w:r>
            <w:r w:rsidR="00DE6963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  <w:p w:rsidR="008D4BAE" w:rsidRPr="004B7619" w:rsidRDefault="008D4BAE" w:rsidP="004B7619">
            <w:pPr>
              <w:pStyle w:val="Brdtex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B7619">
              <w:rPr>
                <w:rFonts w:ascii="Verdana" w:hAnsi="Verdana"/>
                <w:sz w:val="18"/>
                <w:szCs w:val="18"/>
              </w:rPr>
              <w:t>mDKK/mSEK</w:t>
            </w:r>
            <w:proofErr w:type="spellEnd"/>
          </w:p>
          <w:p w:rsidR="000005A2" w:rsidRPr="004B7619" w:rsidRDefault="000005A2" w:rsidP="003A6ADB">
            <w:pPr>
              <w:pStyle w:val="Brdtext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6467" w:rsidRPr="004B7619" w:rsidRDefault="004B7619" w:rsidP="004B7619">
            <w:pPr>
              <w:pStyle w:val="Brdtext"/>
              <w:jc w:val="center"/>
              <w:rPr>
                <w:rFonts w:ascii="Verdana" w:hAnsi="Verdana"/>
                <w:sz w:val="18"/>
                <w:szCs w:val="18"/>
              </w:rPr>
            </w:pPr>
            <w:r w:rsidRPr="004B7619">
              <w:rPr>
                <w:rFonts w:ascii="Verdana" w:hAnsi="Verdana"/>
                <w:sz w:val="18"/>
                <w:szCs w:val="18"/>
              </w:rPr>
              <w:t xml:space="preserve">Första halvåret </w:t>
            </w:r>
            <w:r w:rsidR="00426467" w:rsidRPr="004B7619">
              <w:rPr>
                <w:rFonts w:ascii="Verdana" w:hAnsi="Verdana"/>
                <w:sz w:val="18"/>
                <w:szCs w:val="18"/>
              </w:rPr>
              <w:t>200</w:t>
            </w:r>
            <w:r w:rsidR="00DE6963">
              <w:rPr>
                <w:rFonts w:ascii="Verdana" w:hAnsi="Verdana"/>
                <w:sz w:val="18"/>
                <w:szCs w:val="18"/>
              </w:rPr>
              <w:t>8</w:t>
            </w:r>
          </w:p>
          <w:p w:rsidR="008D4BAE" w:rsidRPr="004B7619" w:rsidRDefault="008D4BAE" w:rsidP="004B7619">
            <w:pPr>
              <w:pStyle w:val="Brdtex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B7619">
              <w:rPr>
                <w:rFonts w:ascii="Verdana" w:hAnsi="Verdana"/>
                <w:sz w:val="18"/>
                <w:szCs w:val="18"/>
              </w:rPr>
              <w:t>mDKK/mSEK</w:t>
            </w:r>
            <w:proofErr w:type="spellEnd"/>
          </w:p>
          <w:p w:rsidR="000005A2" w:rsidRPr="004B7619" w:rsidRDefault="000005A2" w:rsidP="004B7619">
            <w:pPr>
              <w:pStyle w:val="Brdtext"/>
              <w:jc w:val="center"/>
              <w:rPr>
                <w:rFonts w:ascii="Verdana" w:hAnsi="Verdana"/>
                <w:sz w:val="18"/>
                <w:szCs w:val="18"/>
              </w:rPr>
            </w:pPr>
            <w:r w:rsidRPr="004B7619">
              <w:rPr>
                <w:rFonts w:ascii="Verdana" w:hAnsi="Verdana"/>
                <w:sz w:val="12"/>
                <w:szCs w:val="12"/>
              </w:rPr>
              <w:t>som rapporterat</w:t>
            </w:r>
          </w:p>
        </w:tc>
        <w:tc>
          <w:tcPr>
            <w:tcW w:w="2410" w:type="dxa"/>
          </w:tcPr>
          <w:p w:rsidR="00426467" w:rsidRPr="004B7619" w:rsidRDefault="004B7619" w:rsidP="00DE6963">
            <w:pPr>
              <w:pStyle w:val="Brdtext"/>
              <w:jc w:val="center"/>
              <w:rPr>
                <w:rFonts w:ascii="Verdana" w:hAnsi="Verdana"/>
                <w:sz w:val="18"/>
                <w:szCs w:val="18"/>
              </w:rPr>
            </w:pPr>
            <w:r w:rsidRPr="004B7619">
              <w:rPr>
                <w:rFonts w:ascii="Verdana" w:hAnsi="Verdana"/>
                <w:sz w:val="18"/>
                <w:szCs w:val="18"/>
              </w:rPr>
              <w:t xml:space="preserve">Första halvåret </w:t>
            </w:r>
            <w:r w:rsidR="00426467" w:rsidRPr="004B7619">
              <w:rPr>
                <w:rFonts w:ascii="Verdana" w:hAnsi="Verdana"/>
                <w:sz w:val="18"/>
                <w:szCs w:val="18"/>
              </w:rPr>
              <w:t>200</w:t>
            </w:r>
            <w:r w:rsidR="00DE6963">
              <w:rPr>
                <w:rFonts w:ascii="Verdana" w:hAnsi="Verdana"/>
                <w:sz w:val="18"/>
                <w:szCs w:val="18"/>
              </w:rPr>
              <w:t>8</w:t>
            </w:r>
            <w:r w:rsidR="00426467" w:rsidRPr="004B761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6467" w:rsidRPr="004B7619"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="008D4BAE" w:rsidRPr="004B7619">
              <w:rPr>
                <w:rFonts w:ascii="Verdana" w:hAnsi="Verdana"/>
                <w:sz w:val="18"/>
                <w:szCs w:val="18"/>
              </w:rPr>
              <w:t>mDKK/</w:t>
            </w:r>
            <w:proofErr w:type="gramStart"/>
            <w:r w:rsidR="008D4BAE" w:rsidRPr="004B7619">
              <w:rPr>
                <w:rFonts w:ascii="Verdana" w:hAnsi="Verdana"/>
                <w:sz w:val="18"/>
                <w:szCs w:val="18"/>
              </w:rPr>
              <w:t>mSEK</w:t>
            </w:r>
            <w:proofErr w:type="spellEnd"/>
            <w:r w:rsidR="008D4BAE" w:rsidRPr="004B7619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 xml:space="preserve">      </w:t>
            </w:r>
            <w:r w:rsidR="00F844B1" w:rsidRPr="004B7619">
              <w:rPr>
                <w:rFonts w:ascii="Verdana" w:hAnsi="Verdana"/>
                <w:sz w:val="12"/>
                <w:szCs w:val="12"/>
              </w:rPr>
              <w:t>omräknat</w:t>
            </w:r>
            <w:proofErr w:type="gramEnd"/>
            <w:r w:rsidR="00F844B1" w:rsidRPr="004B7619">
              <w:rPr>
                <w:rFonts w:ascii="Verdana" w:hAnsi="Verdana"/>
                <w:sz w:val="12"/>
                <w:szCs w:val="12"/>
              </w:rPr>
              <w:t xml:space="preserve"> till innevarande års valutakurser</w:t>
            </w:r>
          </w:p>
        </w:tc>
      </w:tr>
      <w:tr w:rsidR="00034CE1" w:rsidRPr="007076B7" w:rsidTr="00CC6DBD">
        <w:tc>
          <w:tcPr>
            <w:tcW w:w="1668" w:type="dxa"/>
          </w:tcPr>
          <w:p w:rsidR="00034CE1" w:rsidRPr="007076B7" w:rsidRDefault="00034CE1" w:rsidP="004F337A">
            <w:pPr>
              <w:pStyle w:val="Brdtext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7076B7">
              <w:rPr>
                <w:rFonts w:ascii="Verdana" w:hAnsi="Verdana"/>
                <w:sz w:val="18"/>
                <w:szCs w:val="18"/>
                <w:lang w:val="en-US"/>
              </w:rPr>
              <w:t>Ne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ttopremie-inkomster</w:t>
            </w:r>
            <w:proofErr w:type="spellEnd"/>
          </w:p>
        </w:tc>
        <w:tc>
          <w:tcPr>
            <w:tcW w:w="2409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8</w:t>
            </w: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446/12,319</w:t>
            </w:r>
          </w:p>
        </w:tc>
        <w:tc>
          <w:tcPr>
            <w:tcW w:w="2410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9</w:t>
            </w: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232/11,609</w:t>
            </w:r>
          </w:p>
        </w:tc>
        <w:tc>
          <w:tcPr>
            <w:tcW w:w="2410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  <w:t>8,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553/12,474</w:t>
            </w:r>
          </w:p>
        </w:tc>
      </w:tr>
      <w:tr w:rsidR="00034CE1" w:rsidRPr="007076B7" w:rsidTr="00CC6DBD">
        <w:tc>
          <w:tcPr>
            <w:tcW w:w="1668" w:type="dxa"/>
          </w:tcPr>
          <w:p w:rsidR="00034CE1" w:rsidRPr="007076B7" w:rsidRDefault="00034CE1" w:rsidP="004F337A">
            <w:pPr>
              <w:pStyle w:val="Brdtex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  <w:t>Underwriting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proofErr w:type="spellStart"/>
            <w:r w:rsidRPr="007076B7">
              <w:rPr>
                <w:rFonts w:ascii="Verdana" w:hAnsi="Verdana"/>
                <w:sz w:val="18"/>
                <w:szCs w:val="18"/>
                <w:lang w:val="en-US"/>
              </w:rPr>
              <w:t>result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at</w:t>
            </w:r>
            <w:proofErr w:type="spellEnd"/>
          </w:p>
        </w:tc>
        <w:tc>
          <w:tcPr>
            <w:tcW w:w="2409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880/1,283</w:t>
            </w:r>
          </w:p>
        </w:tc>
        <w:tc>
          <w:tcPr>
            <w:tcW w:w="2410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786/988</w:t>
            </w:r>
          </w:p>
        </w:tc>
        <w:tc>
          <w:tcPr>
            <w:tcW w:w="2410" w:type="dxa"/>
          </w:tcPr>
          <w:p w:rsidR="00034CE1" w:rsidRPr="007076B7" w:rsidRDefault="00034CE1" w:rsidP="006E5937">
            <w:pPr>
              <w:pStyle w:val="Brdtext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7076B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697/1,017</w:t>
            </w:r>
          </w:p>
        </w:tc>
      </w:tr>
    </w:tbl>
    <w:p w:rsidR="00426467" w:rsidRPr="00A8001C" w:rsidRDefault="00426467" w:rsidP="00426467">
      <w:pPr>
        <w:pStyle w:val="Brdtext"/>
        <w:rPr>
          <w:rFonts w:ascii="Verdana" w:hAnsi="Verdana"/>
          <w:szCs w:val="24"/>
          <w:lang w:val="en-US"/>
        </w:rPr>
      </w:pPr>
    </w:p>
    <w:p w:rsidR="0075239D" w:rsidRDefault="0075239D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936248" w:rsidRDefault="00936248" w:rsidP="000C2DD1">
      <w:pPr>
        <w:rPr>
          <w:rStyle w:val="heading11"/>
          <w:rFonts w:ascii="Times New Roman" w:hAnsi="Times New Roman"/>
          <w:sz w:val="24"/>
          <w:szCs w:val="24"/>
        </w:rPr>
      </w:pPr>
    </w:p>
    <w:p w:rsidR="00426467" w:rsidRPr="003B4DAB" w:rsidRDefault="00AD42A5" w:rsidP="000C2DD1">
      <w:pPr>
        <w:rPr>
          <w:rStyle w:val="heading11"/>
          <w:rFonts w:ascii="Times New Roman" w:hAnsi="Times New Roman"/>
          <w:sz w:val="24"/>
          <w:szCs w:val="24"/>
        </w:rPr>
      </w:pPr>
      <w:r w:rsidRPr="003B4DAB">
        <w:rPr>
          <w:rStyle w:val="heading11"/>
          <w:rFonts w:ascii="Times New Roman" w:hAnsi="Times New Roman"/>
          <w:sz w:val="24"/>
          <w:szCs w:val="24"/>
        </w:rPr>
        <w:lastRenderedPageBreak/>
        <w:t>Information till redaktionen</w:t>
      </w:r>
    </w:p>
    <w:p w:rsidR="00EF593F" w:rsidRDefault="00AD42A5" w:rsidP="00AD42A5">
      <w:pPr>
        <w:pStyle w:val="NoParagraphStyle"/>
        <w:numPr>
          <w:ilvl w:val="0"/>
          <w:numId w:val="14"/>
        </w:numPr>
        <w:suppressAutoHyphens/>
        <w:rPr>
          <w:rFonts w:ascii="Times New Roman" w:hAnsi="Times New Roman" w:cs="Times New Roman"/>
          <w:szCs w:val="16"/>
        </w:rPr>
      </w:pPr>
      <w:proofErr w:type="spellStart"/>
      <w:r w:rsidRPr="00EF593F">
        <w:rPr>
          <w:rFonts w:ascii="Times New Roman" w:hAnsi="Times New Roman" w:cs="Times New Roman"/>
          <w:szCs w:val="16"/>
        </w:rPr>
        <w:t>Underwritingresultatet</w:t>
      </w:r>
      <w:proofErr w:type="spellEnd"/>
      <w:r w:rsidRPr="00EF593F">
        <w:rPr>
          <w:rFonts w:ascii="Times New Roman" w:hAnsi="Times New Roman" w:cs="Times New Roman"/>
          <w:szCs w:val="16"/>
        </w:rPr>
        <w:t xml:space="preserve"> består av nettopremieintäkter minus ersättningar och omkostnader.</w:t>
      </w:r>
    </w:p>
    <w:p w:rsidR="00AD42A5" w:rsidRPr="00EF593F" w:rsidRDefault="00AD42A5" w:rsidP="00AD42A5">
      <w:pPr>
        <w:pStyle w:val="NoParagraphStyle"/>
        <w:numPr>
          <w:ilvl w:val="0"/>
          <w:numId w:val="14"/>
        </w:numPr>
        <w:suppressAutoHyphens/>
        <w:rPr>
          <w:rFonts w:ascii="Times New Roman" w:hAnsi="Times New Roman" w:cs="Times New Roman"/>
          <w:szCs w:val="16"/>
        </w:rPr>
      </w:pPr>
      <w:proofErr w:type="spellStart"/>
      <w:r w:rsidRPr="00EF593F">
        <w:rPr>
          <w:rFonts w:ascii="Times New Roman" w:hAnsi="Times New Roman" w:cs="Times New Roman"/>
          <w:szCs w:val="16"/>
        </w:rPr>
        <w:t>Combined</w:t>
      </w:r>
      <w:proofErr w:type="spellEnd"/>
      <w:r w:rsidRPr="00EF593F">
        <w:rPr>
          <w:rFonts w:ascii="Times New Roman" w:hAnsi="Times New Roman" w:cs="Times New Roman"/>
          <w:szCs w:val="16"/>
        </w:rPr>
        <w:t xml:space="preserve"> operating </w:t>
      </w:r>
      <w:proofErr w:type="spellStart"/>
      <w:r w:rsidRPr="00EF593F">
        <w:rPr>
          <w:rFonts w:ascii="Times New Roman" w:hAnsi="Times New Roman" w:cs="Times New Roman"/>
          <w:szCs w:val="16"/>
        </w:rPr>
        <w:t>ratio</w:t>
      </w:r>
      <w:proofErr w:type="spellEnd"/>
      <w:r w:rsidRPr="00EF593F">
        <w:rPr>
          <w:rFonts w:ascii="Times New Roman" w:hAnsi="Times New Roman" w:cs="Times New Roman"/>
          <w:szCs w:val="16"/>
        </w:rPr>
        <w:t xml:space="preserve"> beräknas som summan av nettoersättningsprocenten (mätt i förhållande till intjänade premier) och nettoomkostnadsprocenten (mätt i förhållande till tecknad premie).</w:t>
      </w:r>
    </w:p>
    <w:p w:rsidR="00E00184" w:rsidRDefault="00E00184" w:rsidP="000C2DD1">
      <w:pPr>
        <w:jc w:val="both"/>
        <w:rPr>
          <w:b/>
          <w:snapToGrid w:val="0"/>
          <w:sz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 vänligen kontakta:</w:t>
      </w:r>
    </w:p>
    <w:p w:rsidR="000C2DD1" w:rsidRDefault="000C2DD1" w:rsidP="000C2DD1">
      <w:pPr>
        <w:jc w:val="both"/>
        <w:rPr>
          <w:sz w:val="24"/>
        </w:rPr>
      </w:pPr>
      <w:r w:rsidRPr="005E1528">
        <w:rPr>
          <w:sz w:val="24"/>
        </w:rPr>
        <w:t xml:space="preserve">Malou </w:t>
      </w:r>
      <w:proofErr w:type="spellStart"/>
      <w:r w:rsidRPr="005E1528">
        <w:rPr>
          <w:sz w:val="24"/>
        </w:rPr>
        <w:t>Sjörin</w:t>
      </w:r>
      <w:proofErr w:type="spellEnd"/>
      <w:r w:rsidRPr="005E1528">
        <w:rPr>
          <w:sz w:val="24"/>
        </w:rPr>
        <w:t xml:space="preserve">, presschef. </w:t>
      </w:r>
      <w:r w:rsidRPr="00A2494F">
        <w:rPr>
          <w:sz w:val="24"/>
        </w:rPr>
        <w:t xml:space="preserve">Telefon: </w:t>
      </w:r>
      <w:r w:rsidR="00A2494F" w:rsidRPr="00A2494F">
        <w:rPr>
          <w:sz w:val="24"/>
        </w:rPr>
        <w:t xml:space="preserve">+46 </w:t>
      </w:r>
      <w:r w:rsidR="004D66B8" w:rsidRPr="00A2494F">
        <w:rPr>
          <w:sz w:val="24"/>
        </w:rPr>
        <w:t>70</w:t>
      </w:r>
      <w:r w:rsidR="00A2494F" w:rsidRPr="00A2494F">
        <w:rPr>
          <w:sz w:val="24"/>
        </w:rPr>
        <w:t xml:space="preserve"> </w:t>
      </w:r>
      <w:r w:rsidR="004D66B8" w:rsidRPr="00A2494F">
        <w:rPr>
          <w:sz w:val="24"/>
        </w:rPr>
        <w:t>168 20 32</w:t>
      </w:r>
      <w:r w:rsidR="00263E39" w:rsidRPr="00A2494F">
        <w:rPr>
          <w:sz w:val="24"/>
        </w:rPr>
        <w:t xml:space="preserve">. Mejl: </w:t>
      </w:r>
      <w:hyperlink r:id="rId7" w:history="1">
        <w:r w:rsidR="00263E39" w:rsidRPr="00A2494F">
          <w:rPr>
            <w:rStyle w:val="Hyperlnk"/>
            <w:sz w:val="24"/>
          </w:rPr>
          <w:t>malou.sjorin@trygghansa.se</w:t>
        </w:r>
      </w:hyperlink>
    </w:p>
    <w:sectPr w:rsidR="000C2DD1" w:rsidSect="00C707B5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55" w:rsidRDefault="008F6955">
      <w:r>
        <w:separator/>
      </w:r>
    </w:p>
  </w:endnote>
  <w:endnote w:type="continuationSeparator" w:id="0">
    <w:p w:rsidR="008F6955" w:rsidRDefault="008F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8" w:rsidRPr="00936248" w:rsidRDefault="00936248" w:rsidP="004F46AB">
    <w:pPr>
      <w:pStyle w:val="Sidfot"/>
      <w:rPr>
        <w:b/>
      </w:rPr>
    </w:pPr>
    <w:r w:rsidRPr="00936248">
      <w:rPr>
        <w:b/>
      </w:rPr>
      <w:t>Om Trygg-Hansa</w:t>
    </w:r>
  </w:p>
  <w:p w:rsidR="008F6955" w:rsidRPr="00936248" w:rsidRDefault="00936248" w:rsidP="004F46AB">
    <w:pPr>
      <w:pStyle w:val="Sidfot"/>
    </w:pPr>
    <w:hyperlink r:id="rId1" w:history="1">
      <w:r w:rsidRPr="00936248">
        <w:rPr>
          <w:rStyle w:val="Hyperlnk"/>
        </w:rPr>
        <w:t>Trygg-Hansa</w:t>
      </w:r>
    </w:hyperlink>
    <w:r w:rsidRPr="00936248">
      <w:t xml:space="preserve"> är ett av Sveriges största </w:t>
    </w:r>
    <w:hyperlink r:id="rId2" w:history="1">
      <w:r w:rsidRPr="00936248">
        <w:t>försäkringsbolag</w:t>
      </w:r>
    </w:hyperlink>
    <w:r w:rsidRPr="00936248">
      <w:t xml:space="preserve"> med en årspremievolym på runt tio miljarder kronor och cirka 2 000 medarbetare.  Vi är ett helägt dotterbolag till brittiska RSA som är ett av världens största försäkringsbolag. </w:t>
    </w:r>
    <w:hyperlink r:id="rId3" w:history="1">
      <w:r w:rsidRPr="00936248">
        <w:rPr>
          <w:rStyle w:val="Hyperlnk"/>
        </w:rPr>
        <w:t>Trygg-Hansa</w:t>
      </w:r>
    </w:hyperlink>
    <w:r w:rsidRPr="00936248">
      <w:t xml:space="preserve"> erbjuder både </w:t>
    </w:r>
    <w:hyperlink r:id="rId4" w:history="1">
      <w:r w:rsidRPr="00936248">
        <w:rPr>
          <w:rStyle w:val="Hyperlnk"/>
        </w:rPr>
        <w:t>företagsförsäkringar</w:t>
      </w:r>
    </w:hyperlink>
    <w:r w:rsidRPr="00936248">
      <w:t xml:space="preserve"> och </w:t>
    </w:r>
    <w:hyperlink r:id="rId5" w:history="1">
      <w:r w:rsidRPr="00936248">
        <w:rPr>
          <w:rStyle w:val="Hyperlnk"/>
        </w:rPr>
        <w:t>privatförsäkringar</w:t>
      </w:r>
    </w:hyperlink>
    <w:r w:rsidRPr="00936248">
      <w:t xml:space="preserve"> samt är marknadsledande inom </w:t>
    </w:r>
    <w:hyperlink r:id="rId6" w:history="1">
      <w:r w:rsidRPr="00936248">
        <w:rPr>
          <w:rStyle w:val="Hyperlnk"/>
        </w:rPr>
        <w:t>barnförsäkringar</w:t>
      </w:r>
    </w:hyperlink>
    <w:r w:rsidRPr="00936248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55" w:rsidRDefault="008F6955">
      <w:r>
        <w:separator/>
      </w:r>
    </w:p>
  </w:footnote>
  <w:footnote w:type="continuationSeparator" w:id="0">
    <w:p w:rsidR="008F6955" w:rsidRDefault="008F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5" w:rsidRDefault="008F6955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31091180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D6B"/>
    <w:multiLevelType w:val="hybridMultilevel"/>
    <w:tmpl w:val="CE22A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7D93"/>
    <w:multiLevelType w:val="hybridMultilevel"/>
    <w:tmpl w:val="301E4700"/>
    <w:lvl w:ilvl="0" w:tplc="AE4049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1DC68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E2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3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41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A0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4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A1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64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7336E"/>
    <w:multiLevelType w:val="hybridMultilevel"/>
    <w:tmpl w:val="43DA9766"/>
    <w:lvl w:ilvl="0" w:tplc="992E2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2E8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D48D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5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22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5387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F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E3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A17A4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">
    <w:nsid w:val="0A15729E"/>
    <w:multiLevelType w:val="hybridMultilevel"/>
    <w:tmpl w:val="807EC916"/>
    <w:lvl w:ilvl="0" w:tplc="860886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C20D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7829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AF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EF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FE2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1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0A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CA65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F46CF"/>
    <w:multiLevelType w:val="hybridMultilevel"/>
    <w:tmpl w:val="828835FA"/>
    <w:lvl w:ilvl="0" w:tplc="457E5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E5F33"/>
    <w:multiLevelType w:val="hybridMultilevel"/>
    <w:tmpl w:val="7250CB2A"/>
    <w:lvl w:ilvl="0" w:tplc="53182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8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B27621"/>
    <w:multiLevelType w:val="hybridMultilevel"/>
    <w:tmpl w:val="6DE67866"/>
    <w:lvl w:ilvl="0" w:tplc="95382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8E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625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4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23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4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2C8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2C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EC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731FD"/>
    <w:multiLevelType w:val="hybridMultilevel"/>
    <w:tmpl w:val="02C0E35E"/>
    <w:lvl w:ilvl="0" w:tplc="2ADE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E4D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8C67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6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28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C7CC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A4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3EA0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42218D"/>
    <w:multiLevelType w:val="hybridMultilevel"/>
    <w:tmpl w:val="B024D906"/>
    <w:lvl w:ilvl="0" w:tplc="AFCA7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005A2"/>
    <w:rsid w:val="00006ED2"/>
    <w:rsid w:val="0001113E"/>
    <w:rsid w:val="00034CE1"/>
    <w:rsid w:val="0005540B"/>
    <w:rsid w:val="000757D0"/>
    <w:rsid w:val="000B3115"/>
    <w:rsid w:val="000C2DD1"/>
    <w:rsid w:val="000F1C37"/>
    <w:rsid w:val="001628F3"/>
    <w:rsid w:val="001673CE"/>
    <w:rsid w:val="00175140"/>
    <w:rsid w:val="00185D53"/>
    <w:rsid w:val="001D0313"/>
    <w:rsid w:val="0023155E"/>
    <w:rsid w:val="00263E39"/>
    <w:rsid w:val="002869B4"/>
    <w:rsid w:val="002A3FC8"/>
    <w:rsid w:val="00302F41"/>
    <w:rsid w:val="00334570"/>
    <w:rsid w:val="0034678A"/>
    <w:rsid w:val="003774D6"/>
    <w:rsid w:val="003A6ADB"/>
    <w:rsid w:val="003B4DAB"/>
    <w:rsid w:val="003D315A"/>
    <w:rsid w:val="00410353"/>
    <w:rsid w:val="00420DF4"/>
    <w:rsid w:val="00426467"/>
    <w:rsid w:val="00433298"/>
    <w:rsid w:val="00433396"/>
    <w:rsid w:val="00460D24"/>
    <w:rsid w:val="00467059"/>
    <w:rsid w:val="004B4087"/>
    <w:rsid w:val="004B7619"/>
    <w:rsid w:val="004C495E"/>
    <w:rsid w:val="004D66B8"/>
    <w:rsid w:val="004F337A"/>
    <w:rsid w:val="004F46AB"/>
    <w:rsid w:val="00576E1B"/>
    <w:rsid w:val="00594E6D"/>
    <w:rsid w:val="005A592F"/>
    <w:rsid w:val="00602046"/>
    <w:rsid w:val="00603DCD"/>
    <w:rsid w:val="006613B7"/>
    <w:rsid w:val="00680FE0"/>
    <w:rsid w:val="006A153D"/>
    <w:rsid w:val="006C6BA3"/>
    <w:rsid w:val="006E5937"/>
    <w:rsid w:val="006F5737"/>
    <w:rsid w:val="0075239D"/>
    <w:rsid w:val="00753D55"/>
    <w:rsid w:val="0079682E"/>
    <w:rsid w:val="007A148F"/>
    <w:rsid w:val="007A3C9E"/>
    <w:rsid w:val="007E0CEC"/>
    <w:rsid w:val="008B17E6"/>
    <w:rsid w:val="008B3CA3"/>
    <w:rsid w:val="008D4BAE"/>
    <w:rsid w:val="008E2E14"/>
    <w:rsid w:val="008F0920"/>
    <w:rsid w:val="008F6955"/>
    <w:rsid w:val="00912623"/>
    <w:rsid w:val="00936248"/>
    <w:rsid w:val="00952BCD"/>
    <w:rsid w:val="00975DB7"/>
    <w:rsid w:val="009E3D0D"/>
    <w:rsid w:val="00A2494F"/>
    <w:rsid w:val="00A36A1B"/>
    <w:rsid w:val="00A37119"/>
    <w:rsid w:val="00A604C0"/>
    <w:rsid w:val="00A757BB"/>
    <w:rsid w:val="00A800F7"/>
    <w:rsid w:val="00A825DE"/>
    <w:rsid w:val="00AB077C"/>
    <w:rsid w:val="00AD42A5"/>
    <w:rsid w:val="00AE429E"/>
    <w:rsid w:val="00AF7EBB"/>
    <w:rsid w:val="00B45CF5"/>
    <w:rsid w:val="00B543D6"/>
    <w:rsid w:val="00B64AA1"/>
    <w:rsid w:val="00B77C8F"/>
    <w:rsid w:val="00BA7741"/>
    <w:rsid w:val="00C707B5"/>
    <w:rsid w:val="00C714A2"/>
    <w:rsid w:val="00CA6987"/>
    <w:rsid w:val="00CC6DBD"/>
    <w:rsid w:val="00D22A09"/>
    <w:rsid w:val="00D403AB"/>
    <w:rsid w:val="00D61BFB"/>
    <w:rsid w:val="00DA6593"/>
    <w:rsid w:val="00DB0C43"/>
    <w:rsid w:val="00DC3ADF"/>
    <w:rsid w:val="00DE6963"/>
    <w:rsid w:val="00E00184"/>
    <w:rsid w:val="00E03E24"/>
    <w:rsid w:val="00E156AA"/>
    <w:rsid w:val="00E40177"/>
    <w:rsid w:val="00E74DF8"/>
    <w:rsid w:val="00E93F06"/>
    <w:rsid w:val="00EF593F"/>
    <w:rsid w:val="00F02055"/>
    <w:rsid w:val="00F245A9"/>
    <w:rsid w:val="00F257F7"/>
    <w:rsid w:val="00F563D8"/>
    <w:rsid w:val="00F844B1"/>
    <w:rsid w:val="00FA1944"/>
    <w:rsid w:val="00FC635F"/>
    <w:rsid w:val="00FD124B"/>
    <w:rsid w:val="00FE010E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B5"/>
  </w:style>
  <w:style w:type="paragraph" w:styleId="Rubrik1">
    <w:name w:val="heading 1"/>
    <w:basedOn w:val="Normal"/>
    <w:next w:val="Normal"/>
    <w:qFormat/>
    <w:rsid w:val="00C707B5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C707B5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707B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707B5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707B5"/>
    <w:rPr>
      <w:b/>
      <w:snapToGrid w:val="0"/>
    </w:rPr>
  </w:style>
  <w:style w:type="character" w:styleId="Hyperlnk">
    <w:name w:val="Hyperlink"/>
    <w:basedOn w:val="Standardstycketeckensnitt"/>
    <w:uiPriority w:val="99"/>
    <w:rsid w:val="00C707B5"/>
    <w:rPr>
      <w:color w:val="0000FF"/>
      <w:u w:val="single"/>
    </w:rPr>
  </w:style>
  <w:style w:type="paragraph" w:styleId="Brdtext2">
    <w:name w:val="Body Text 2"/>
    <w:basedOn w:val="Normal"/>
    <w:semiHidden/>
    <w:rsid w:val="00C707B5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C707B5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C707B5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NoParagraphStyle">
    <w:name w:val="[No Paragraph Style]"/>
    <w:rsid w:val="00334570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34570"/>
    <w:rPr>
      <w:rFonts w:ascii="Verdana" w:hAnsi="Verdana"/>
      <w:color w:val="00000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34570"/>
    <w:rPr>
      <w:rFonts w:ascii="Verdana" w:hAnsi="Verdana"/>
      <w:color w:val="000000"/>
    </w:rPr>
  </w:style>
  <w:style w:type="character" w:styleId="Fotnotsreferens">
    <w:name w:val="footnote reference"/>
    <w:basedOn w:val="Standardstycketeckensnitt"/>
    <w:uiPriority w:val="99"/>
    <w:semiHidden/>
    <w:unhideWhenUsed/>
    <w:rsid w:val="003345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ou.sjorin@trygghans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ygghansa.se" TargetMode="External"/><Relationship Id="rId2" Type="http://schemas.openxmlformats.org/officeDocument/2006/relationships/hyperlink" Target="http://www.trygghansa.se/" TargetMode="External"/><Relationship Id="rId1" Type="http://schemas.openxmlformats.org/officeDocument/2006/relationships/hyperlink" Target="http://www.trygghansa.se" TargetMode="External"/><Relationship Id="rId6" Type="http://schemas.openxmlformats.org/officeDocument/2006/relationships/hyperlink" Target="http://www.trygghansa.se/04Privat/Page7726.html" TargetMode="External"/><Relationship Id="rId5" Type="http://schemas.openxmlformats.org/officeDocument/2006/relationships/hyperlink" Target="http://www.trygghansa.se/04Privat/page7740.html" TargetMode="External"/><Relationship Id="rId4" Type="http://schemas.openxmlformats.org/officeDocument/2006/relationships/hyperlink" Target="http://www.trygghansa.se/04Foretag/Page774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2419</CharactersWithSpaces>
  <SharedDoc>false</SharedDoc>
  <HLinks>
    <vt:vector size="12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mailto:malou.sjorin@trygghansa.se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a79657</cp:lastModifiedBy>
  <cp:revision>2</cp:revision>
  <cp:lastPrinted>2009-08-04T15:13:00Z</cp:lastPrinted>
  <dcterms:created xsi:type="dcterms:W3CDTF">2009-08-04T15:23:00Z</dcterms:created>
  <dcterms:modified xsi:type="dcterms:W3CDTF">2009-08-04T15:23:00Z</dcterms:modified>
</cp:coreProperties>
</file>