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01" w:rsidRDefault="00CC4601" w:rsidP="00CC4601">
      <w:pPr>
        <w:spacing w:after="0"/>
        <w:rPr>
          <w:rFonts w:asciiTheme="minorHAnsi" w:hAnsiTheme="minorHAnsi"/>
          <w:sz w:val="20"/>
          <w:szCs w:val="20"/>
        </w:rPr>
      </w:pPr>
      <w:r>
        <w:rPr>
          <w:rFonts w:asciiTheme="minorHAnsi" w:hAnsiTheme="minorHAnsi"/>
          <w:sz w:val="20"/>
          <w:szCs w:val="20"/>
        </w:rPr>
        <w:t xml:space="preserve">Författare: </w:t>
      </w:r>
    </w:p>
    <w:p w:rsidR="00CC4601" w:rsidRDefault="00CC4601" w:rsidP="00CC4601">
      <w:pPr>
        <w:spacing w:after="0"/>
        <w:rPr>
          <w:rFonts w:asciiTheme="minorHAnsi" w:hAnsiTheme="minorHAnsi"/>
          <w:sz w:val="20"/>
          <w:szCs w:val="20"/>
        </w:rPr>
      </w:pPr>
      <w:r>
        <w:rPr>
          <w:rFonts w:asciiTheme="minorHAnsi" w:hAnsiTheme="minorHAnsi"/>
          <w:sz w:val="20"/>
          <w:szCs w:val="20"/>
        </w:rPr>
        <w:t>Ronny Andersson, Adj. Professor, Konstruktionsteknik, Lunds Tekniska Högskola</w:t>
      </w:r>
      <w:r w:rsidR="0062164C">
        <w:rPr>
          <w:rFonts w:asciiTheme="minorHAnsi" w:hAnsiTheme="minorHAnsi"/>
          <w:sz w:val="20"/>
          <w:szCs w:val="20"/>
        </w:rPr>
        <w:t>, Chef Forskning och Innovation</w:t>
      </w:r>
      <w:r w:rsidR="00FD7102">
        <w:rPr>
          <w:rFonts w:asciiTheme="minorHAnsi" w:hAnsiTheme="minorHAnsi"/>
          <w:sz w:val="20"/>
          <w:szCs w:val="20"/>
        </w:rPr>
        <w:t>,</w:t>
      </w:r>
      <w:r w:rsidR="0062164C">
        <w:rPr>
          <w:rFonts w:asciiTheme="minorHAnsi" w:hAnsiTheme="minorHAnsi"/>
          <w:sz w:val="20"/>
          <w:szCs w:val="20"/>
        </w:rPr>
        <w:t xml:space="preserve"> Cementa AB</w:t>
      </w:r>
      <w:r>
        <w:rPr>
          <w:rFonts w:asciiTheme="minorHAnsi" w:hAnsiTheme="minorHAnsi"/>
          <w:sz w:val="20"/>
          <w:szCs w:val="20"/>
        </w:rPr>
        <w:t xml:space="preserve">. </w:t>
      </w:r>
    </w:p>
    <w:p w:rsidR="00CC4601" w:rsidRDefault="00CC4601" w:rsidP="00CC4601">
      <w:pPr>
        <w:spacing w:after="0"/>
        <w:rPr>
          <w:rFonts w:asciiTheme="minorHAnsi" w:hAnsiTheme="minorHAnsi"/>
          <w:sz w:val="20"/>
          <w:szCs w:val="20"/>
        </w:rPr>
      </w:pPr>
      <w:r>
        <w:rPr>
          <w:rFonts w:asciiTheme="minorHAnsi" w:hAnsiTheme="minorHAnsi"/>
          <w:sz w:val="20"/>
          <w:szCs w:val="20"/>
        </w:rPr>
        <w:t>Robert Larsson, Industridoktorand, Konstruktionsteknik, Lunds Tekniska Högskola</w:t>
      </w:r>
      <w:r w:rsidR="0062164C">
        <w:rPr>
          <w:rFonts w:asciiTheme="minorHAnsi" w:hAnsiTheme="minorHAnsi"/>
          <w:sz w:val="20"/>
          <w:szCs w:val="20"/>
        </w:rPr>
        <w:t>, Projektledare Utveckling, Cementa AB</w:t>
      </w:r>
      <w:r>
        <w:rPr>
          <w:rFonts w:asciiTheme="minorHAnsi" w:hAnsiTheme="minorHAnsi"/>
          <w:sz w:val="20"/>
          <w:szCs w:val="20"/>
        </w:rPr>
        <w:t>.</w:t>
      </w:r>
    </w:p>
    <w:p w:rsidR="00AB4DCF" w:rsidRPr="006463D9" w:rsidRDefault="009B4902" w:rsidP="00D97230">
      <w:pPr>
        <w:pStyle w:val="Rubrik1"/>
        <w:rPr>
          <w:rFonts w:asciiTheme="minorHAnsi" w:hAnsiTheme="minorHAnsi"/>
          <w:sz w:val="40"/>
          <w:szCs w:val="40"/>
        </w:rPr>
      </w:pPr>
      <w:r w:rsidRPr="006463D9">
        <w:rPr>
          <w:rFonts w:asciiTheme="minorHAnsi" w:hAnsiTheme="minorHAnsi"/>
          <w:sz w:val="40"/>
          <w:szCs w:val="40"/>
        </w:rPr>
        <w:t>Användning av stommaterial i flerbostads</w:t>
      </w:r>
      <w:r w:rsidR="00562944" w:rsidRPr="006463D9">
        <w:rPr>
          <w:rFonts w:asciiTheme="minorHAnsi" w:hAnsiTheme="minorHAnsi"/>
          <w:sz w:val="40"/>
          <w:szCs w:val="40"/>
        </w:rPr>
        <w:t>hus</w:t>
      </w:r>
      <w:r w:rsidRPr="006463D9">
        <w:rPr>
          <w:rFonts w:asciiTheme="minorHAnsi" w:hAnsiTheme="minorHAnsi"/>
          <w:sz w:val="40"/>
          <w:szCs w:val="40"/>
        </w:rPr>
        <w:t xml:space="preserve"> </w:t>
      </w:r>
    </w:p>
    <w:p w:rsidR="00CC4601" w:rsidRPr="00485646" w:rsidRDefault="00CC4601" w:rsidP="00CC4601">
      <w:pPr>
        <w:spacing w:after="0"/>
        <w:rPr>
          <w:rFonts w:asciiTheme="minorHAnsi" w:hAnsiTheme="minorHAnsi"/>
          <w:sz w:val="20"/>
          <w:szCs w:val="20"/>
        </w:rPr>
      </w:pPr>
    </w:p>
    <w:p w:rsidR="008A2B97" w:rsidRPr="00FB2953" w:rsidRDefault="00613589" w:rsidP="00D97230">
      <w:pPr>
        <w:rPr>
          <w:rFonts w:ascii="Tw Cen MT" w:hAnsi="Tw Cen MT"/>
          <w:i/>
          <w:sz w:val="26"/>
          <w:szCs w:val="26"/>
        </w:rPr>
      </w:pPr>
      <w:r>
        <w:rPr>
          <w:rFonts w:ascii="Tw Cen MT" w:hAnsi="Tw Cen MT"/>
          <w:i/>
          <w:sz w:val="26"/>
          <w:szCs w:val="26"/>
        </w:rPr>
        <w:t xml:space="preserve">Under </w:t>
      </w:r>
      <w:r w:rsidR="00447699">
        <w:rPr>
          <w:rFonts w:ascii="Tw Cen MT" w:hAnsi="Tw Cen MT"/>
          <w:i/>
          <w:sz w:val="26"/>
          <w:szCs w:val="26"/>
        </w:rPr>
        <w:t>de senaste 1</w:t>
      </w:r>
      <w:r w:rsidR="00474BA5">
        <w:rPr>
          <w:rFonts w:ascii="Tw Cen MT" w:hAnsi="Tw Cen MT"/>
          <w:i/>
          <w:sz w:val="26"/>
          <w:szCs w:val="26"/>
        </w:rPr>
        <w:t>5</w:t>
      </w:r>
      <w:r w:rsidR="00447699">
        <w:rPr>
          <w:rFonts w:ascii="Tw Cen MT" w:hAnsi="Tw Cen MT"/>
          <w:i/>
          <w:sz w:val="26"/>
          <w:szCs w:val="26"/>
        </w:rPr>
        <w:t xml:space="preserve"> åren </w:t>
      </w:r>
      <w:r>
        <w:rPr>
          <w:rFonts w:ascii="Tw Cen MT" w:hAnsi="Tw Cen MT"/>
          <w:i/>
          <w:sz w:val="26"/>
          <w:szCs w:val="26"/>
        </w:rPr>
        <w:t xml:space="preserve">har stora satsningar gjorts på att utveckla </w:t>
      </w:r>
      <w:r w:rsidR="008D135D">
        <w:rPr>
          <w:rFonts w:ascii="Tw Cen MT" w:hAnsi="Tw Cen MT"/>
          <w:i/>
          <w:sz w:val="26"/>
          <w:szCs w:val="26"/>
        </w:rPr>
        <w:t xml:space="preserve">nya </w:t>
      </w:r>
      <w:r>
        <w:rPr>
          <w:rFonts w:ascii="Tw Cen MT" w:hAnsi="Tw Cen MT"/>
          <w:i/>
          <w:sz w:val="26"/>
          <w:szCs w:val="26"/>
        </w:rPr>
        <w:t>stomsystem</w:t>
      </w:r>
      <w:r w:rsidR="00FB2953">
        <w:rPr>
          <w:rFonts w:ascii="Tw Cen MT" w:hAnsi="Tw Cen MT"/>
          <w:i/>
          <w:sz w:val="26"/>
          <w:szCs w:val="26"/>
        </w:rPr>
        <w:t xml:space="preserve"> för flerbostadshus</w:t>
      </w:r>
      <w:r w:rsidRPr="00FB2953">
        <w:rPr>
          <w:rFonts w:ascii="Tw Cen MT" w:hAnsi="Tw Cen MT"/>
          <w:i/>
          <w:sz w:val="26"/>
          <w:szCs w:val="26"/>
        </w:rPr>
        <w:t xml:space="preserve">. Effekten av dessa satsningar har nu följts upp och visar </w:t>
      </w:r>
      <w:r w:rsidR="00BE7DEE">
        <w:rPr>
          <w:rFonts w:ascii="Tw Cen MT" w:hAnsi="Tw Cen MT"/>
          <w:i/>
          <w:sz w:val="26"/>
          <w:szCs w:val="26"/>
        </w:rPr>
        <w:t>att inga förändringar i stomtypers marknadsandelar har skett under de senaste åtta åren</w:t>
      </w:r>
      <w:r w:rsidR="001828E3">
        <w:rPr>
          <w:rFonts w:ascii="Tw Cen MT" w:hAnsi="Tw Cen MT"/>
          <w:i/>
          <w:sz w:val="26"/>
          <w:szCs w:val="26"/>
        </w:rPr>
        <w:t>.</w:t>
      </w:r>
      <w:r w:rsidR="00474BA5">
        <w:rPr>
          <w:rFonts w:ascii="Tw Cen MT" w:hAnsi="Tw Cen MT"/>
          <w:i/>
          <w:sz w:val="26"/>
          <w:szCs w:val="26"/>
        </w:rPr>
        <w:t xml:space="preserve"> Idag har lätta stommar totalt ca 10 % marknadsandel och tunga stommar ca 89 %. Enstaka år </w:t>
      </w:r>
      <w:r w:rsidR="004C73D5">
        <w:rPr>
          <w:rFonts w:ascii="Tw Cen MT" w:hAnsi="Tw Cen MT"/>
          <w:i/>
          <w:sz w:val="26"/>
          <w:szCs w:val="26"/>
        </w:rPr>
        <w:t>kan siffrorna ha en mindre spridning uppåt eller neråt men det är huvudsakligen orsakat av ändrad fördelning mellan hur mycket låga respektive höga fl</w:t>
      </w:r>
      <w:r w:rsidR="00474BA5">
        <w:rPr>
          <w:rFonts w:ascii="Tw Cen MT" w:hAnsi="Tw Cen MT"/>
          <w:i/>
          <w:sz w:val="26"/>
          <w:szCs w:val="26"/>
        </w:rPr>
        <w:t>erbostadshus</w:t>
      </w:r>
      <w:r w:rsidR="004C73D5">
        <w:rPr>
          <w:rFonts w:ascii="Tw Cen MT" w:hAnsi="Tw Cen MT"/>
          <w:i/>
          <w:sz w:val="26"/>
          <w:szCs w:val="26"/>
        </w:rPr>
        <w:t xml:space="preserve"> som byggs</w:t>
      </w:r>
      <w:r w:rsidR="00474BA5">
        <w:rPr>
          <w:rFonts w:ascii="Tw Cen MT" w:hAnsi="Tw Cen MT"/>
          <w:i/>
          <w:sz w:val="26"/>
          <w:szCs w:val="26"/>
        </w:rPr>
        <w:t xml:space="preserve">. För flerbostadshus med minst 3 våningar har </w:t>
      </w:r>
      <w:r w:rsidR="004C73D5">
        <w:rPr>
          <w:rFonts w:ascii="Tw Cen MT" w:hAnsi="Tw Cen MT"/>
          <w:i/>
          <w:sz w:val="26"/>
          <w:szCs w:val="26"/>
        </w:rPr>
        <w:t xml:space="preserve">tunga </w:t>
      </w:r>
      <w:r w:rsidR="00474BA5">
        <w:rPr>
          <w:rFonts w:ascii="Tw Cen MT" w:hAnsi="Tw Cen MT"/>
          <w:i/>
          <w:sz w:val="26"/>
          <w:szCs w:val="26"/>
        </w:rPr>
        <w:t xml:space="preserve">stommar </w:t>
      </w:r>
      <w:r w:rsidR="004C73D5">
        <w:rPr>
          <w:rFonts w:ascii="Tw Cen MT" w:hAnsi="Tw Cen MT"/>
          <w:i/>
          <w:sz w:val="26"/>
          <w:szCs w:val="26"/>
        </w:rPr>
        <w:t xml:space="preserve">mellan 93-96 % </w:t>
      </w:r>
      <w:r w:rsidR="00474BA5">
        <w:rPr>
          <w:rFonts w:ascii="Tw Cen MT" w:hAnsi="Tw Cen MT"/>
          <w:i/>
          <w:sz w:val="26"/>
          <w:szCs w:val="26"/>
        </w:rPr>
        <w:t>markn</w:t>
      </w:r>
      <w:r w:rsidR="004C73D5">
        <w:rPr>
          <w:rFonts w:ascii="Tw Cen MT" w:hAnsi="Tw Cen MT"/>
          <w:i/>
          <w:sz w:val="26"/>
          <w:szCs w:val="26"/>
        </w:rPr>
        <w:t>a</w:t>
      </w:r>
      <w:r w:rsidR="00474BA5">
        <w:rPr>
          <w:rFonts w:ascii="Tw Cen MT" w:hAnsi="Tw Cen MT"/>
          <w:i/>
          <w:sz w:val="26"/>
          <w:szCs w:val="26"/>
        </w:rPr>
        <w:t>dsandel.</w:t>
      </w:r>
      <w:r w:rsidR="001828E3">
        <w:rPr>
          <w:rFonts w:ascii="Tw Cen MT" w:hAnsi="Tw Cen MT"/>
          <w:i/>
          <w:sz w:val="26"/>
          <w:szCs w:val="26"/>
        </w:rPr>
        <w:t xml:space="preserve"> </w:t>
      </w:r>
    </w:p>
    <w:p w:rsidR="009B4902" w:rsidRPr="006463D9" w:rsidRDefault="009B4902" w:rsidP="006463D9">
      <w:pPr>
        <w:pStyle w:val="Rubrik2"/>
        <w:spacing w:before="240" w:after="120"/>
        <w:rPr>
          <w:rFonts w:asciiTheme="minorHAnsi" w:hAnsiTheme="minorHAnsi"/>
        </w:rPr>
      </w:pPr>
      <w:r w:rsidRPr="006463D9">
        <w:rPr>
          <w:rFonts w:asciiTheme="minorHAnsi" w:hAnsiTheme="minorHAnsi"/>
        </w:rPr>
        <w:t>In</w:t>
      </w:r>
      <w:r w:rsidR="00D43235" w:rsidRPr="006463D9">
        <w:rPr>
          <w:rFonts w:asciiTheme="minorHAnsi" w:hAnsiTheme="minorHAnsi"/>
        </w:rPr>
        <w:t>ledning</w:t>
      </w:r>
    </w:p>
    <w:p w:rsidR="00512ED8" w:rsidRDefault="003541B2" w:rsidP="00C7291B">
      <w:pPr>
        <w:rPr>
          <w:rFonts w:ascii="Tw Cen MT" w:hAnsi="Tw Cen MT"/>
        </w:rPr>
      </w:pPr>
      <w:r>
        <w:rPr>
          <w:rFonts w:ascii="Tw Cen MT" w:hAnsi="Tw Cen MT"/>
        </w:rPr>
        <w:t>Under 2000-talet har stora satsningar gjor</w:t>
      </w:r>
      <w:bookmarkStart w:id="0" w:name="_GoBack"/>
      <w:bookmarkEnd w:id="0"/>
      <w:r>
        <w:rPr>
          <w:rFonts w:ascii="Tw Cen MT" w:hAnsi="Tw Cen MT"/>
        </w:rPr>
        <w:t xml:space="preserve">ts för att utveckla bostadsbyggandet avseende industriella </w:t>
      </w:r>
      <w:r w:rsidR="00512ED8">
        <w:rPr>
          <w:rFonts w:ascii="Tw Cen MT" w:hAnsi="Tw Cen MT"/>
        </w:rPr>
        <w:t>produktions</w:t>
      </w:r>
      <w:r>
        <w:rPr>
          <w:rFonts w:ascii="Tw Cen MT" w:hAnsi="Tw Cen MT"/>
        </w:rPr>
        <w:t xml:space="preserve">metoder. Viljan att förändra och utveckla </w:t>
      </w:r>
      <w:r w:rsidR="00BA6BD2">
        <w:rPr>
          <w:rFonts w:ascii="Tw Cen MT" w:hAnsi="Tw Cen MT"/>
        </w:rPr>
        <w:t xml:space="preserve">processer, </w:t>
      </w:r>
      <w:r>
        <w:rPr>
          <w:rFonts w:ascii="Tw Cen MT" w:hAnsi="Tw Cen MT"/>
        </w:rPr>
        <w:t>bygg</w:t>
      </w:r>
      <w:r w:rsidR="00BA6BD2">
        <w:rPr>
          <w:rFonts w:ascii="Tw Cen MT" w:hAnsi="Tw Cen MT"/>
        </w:rPr>
        <w:t xml:space="preserve">teknik och material, </w:t>
      </w:r>
      <w:r>
        <w:rPr>
          <w:rFonts w:ascii="Tw Cen MT" w:hAnsi="Tw Cen MT"/>
        </w:rPr>
        <w:t xml:space="preserve">har varit stor bland byggsektorns aktörer. </w:t>
      </w:r>
    </w:p>
    <w:p w:rsidR="0084780E" w:rsidRDefault="00044201" w:rsidP="00C7291B">
      <w:pPr>
        <w:rPr>
          <w:rFonts w:ascii="Tw Cen MT" w:hAnsi="Tw Cen MT"/>
        </w:rPr>
      </w:pPr>
      <w:r>
        <w:rPr>
          <w:rFonts w:ascii="Tw Cen MT" w:hAnsi="Tw Cen MT"/>
        </w:rPr>
        <w:t xml:space="preserve">En </w:t>
      </w:r>
      <w:r w:rsidR="001828E3">
        <w:rPr>
          <w:rFonts w:ascii="Tw Cen MT" w:hAnsi="Tw Cen MT"/>
        </w:rPr>
        <w:t xml:space="preserve">stor </w:t>
      </w:r>
      <w:r>
        <w:rPr>
          <w:rFonts w:ascii="Tw Cen MT" w:hAnsi="Tw Cen MT"/>
        </w:rPr>
        <w:t xml:space="preserve">del </w:t>
      </w:r>
      <w:r w:rsidR="00512ED8">
        <w:rPr>
          <w:rFonts w:ascii="Tw Cen MT" w:hAnsi="Tw Cen MT"/>
        </w:rPr>
        <w:t xml:space="preserve">av </w:t>
      </w:r>
      <w:r>
        <w:rPr>
          <w:rFonts w:ascii="Tw Cen MT" w:hAnsi="Tw Cen MT"/>
        </w:rPr>
        <w:t xml:space="preserve">dessa satsningar har </w:t>
      </w:r>
      <w:r w:rsidR="0052416F">
        <w:rPr>
          <w:rFonts w:ascii="Tw Cen MT" w:hAnsi="Tw Cen MT"/>
        </w:rPr>
        <w:t xml:space="preserve">syftat till </w:t>
      </w:r>
      <w:r>
        <w:rPr>
          <w:rFonts w:ascii="Tw Cen MT" w:hAnsi="Tw Cen MT"/>
        </w:rPr>
        <w:t>att utveckla stom</w:t>
      </w:r>
      <w:r w:rsidR="00A14F86">
        <w:rPr>
          <w:rFonts w:ascii="Tw Cen MT" w:hAnsi="Tw Cen MT"/>
        </w:rPr>
        <w:t>konstruktioner</w:t>
      </w:r>
      <w:r>
        <w:rPr>
          <w:rFonts w:ascii="Tw Cen MT" w:hAnsi="Tw Cen MT"/>
        </w:rPr>
        <w:t xml:space="preserve"> i flerbostadshus</w:t>
      </w:r>
      <w:r w:rsidR="0052416F">
        <w:rPr>
          <w:rFonts w:ascii="Tw Cen MT" w:hAnsi="Tw Cen MT"/>
        </w:rPr>
        <w:t xml:space="preserve">. </w:t>
      </w:r>
      <w:r w:rsidR="00B41B43">
        <w:rPr>
          <w:rFonts w:ascii="Tw Cen MT" w:hAnsi="Tw Cen MT"/>
        </w:rPr>
        <w:t>Satsningar på att utveckla bostadsbyggandet har ofta kopplats</w:t>
      </w:r>
      <w:r w:rsidR="001E3D4B" w:rsidRPr="00937211">
        <w:rPr>
          <w:rFonts w:ascii="Tw Cen MT" w:hAnsi="Tw Cen MT"/>
        </w:rPr>
        <w:t xml:space="preserve"> till industriellt byggande och idag </w:t>
      </w:r>
      <w:r w:rsidR="001828E3">
        <w:rPr>
          <w:rFonts w:ascii="Tw Cen MT" w:hAnsi="Tw Cen MT"/>
        </w:rPr>
        <w:t>är nästan alla flerbostadshus,</w:t>
      </w:r>
      <w:r w:rsidR="001E3D4B" w:rsidRPr="00937211">
        <w:rPr>
          <w:rFonts w:ascii="Tw Cen MT" w:hAnsi="Tw Cen MT"/>
        </w:rPr>
        <w:t xml:space="preserve"> både </w:t>
      </w:r>
      <w:r w:rsidR="001828E3">
        <w:rPr>
          <w:rFonts w:ascii="Tw Cen MT" w:hAnsi="Tw Cen MT"/>
        </w:rPr>
        <w:t>med</w:t>
      </w:r>
      <w:r w:rsidR="001828E3" w:rsidRPr="00937211">
        <w:rPr>
          <w:rFonts w:ascii="Tw Cen MT" w:hAnsi="Tw Cen MT"/>
        </w:rPr>
        <w:t xml:space="preserve"> </w:t>
      </w:r>
      <w:r w:rsidR="001E3D4B" w:rsidRPr="00937211">
        <w:rPr>
          <w:rFonts w:ascii="Tw Cen MT" w:hAnsi="Tw Cen MT"/>
        </w:rPr>
        <w:t>tunga och lätta stommar</w:t>
      </w:r>
      <w:r w:rsidR="001828E3">
        <w:rPr>
          <w:rFonts w:ascii="Tw Cen MT" w:hAnsi="Tw Cen MT"/>
        </w:rPr>
        <w:t>, industriella</w:t>
      </w:r>
      <w:r w:rsidR="001E3D4B" w:rsidRPr="00937211">
        <w:rPr>
          <w:rFonts w:ascii="Tw Cen MT" w:hAnsi="Tw Cen MT"/>
        </w:rPr>
        <w:t>. En skillnad</w:t>
      </w:r>
      <w:r w:rsidR="00937211" w:rsidRPr="00937211">
        <w:rPr>
          <w:rFonts w:ascii="Tw Cen MT" w:hAnsi="Tw Cen MT"/>
        </w:rPr>
        <w:t xml:space="preserve"> är att prefabricerade volymelement </w:t>
      </w:r>
      <w:r w:rsidR="001828E3">
        <w:rPr>
          <w:rFonts w:ascii="Tw Cen MT" w:hAnsi="Tw Cen MT"/>
        </w:rPr>
        <w:t xml:space="preserve">enbart </w:t>
      </w:r>
      <w:r w:rsidR="00937211" w:rsidRPr="00937211">
        <w:rPr>
          <w:rFonts w:ascii="Tw Cen MT" w:hAnsi="Tw Cen MT"/>
        </w:rPr>
        <w:t>förekommer i lättbyggeri</w:t>
      </w:r>
      <w:r w:rsidR="00FE2BF1">
        <w:rPr>
          <w:rFonts w:ascii="Tw Cen MT" w:hAnsi="Tw Cen MT"/>
        </w:rPr>
        <w:t>. I</w:t>
      </w:r>
      <w:r w:rsidR="001E3D4B" w:rsidRPr="00937211">
        <w:rPr>
          <w:rFonts w:ascii="Tw Cen MT" w:hAnsi="Tw Cen MT"/>
        </w:rPr>
        <w:t xml:space="preserve">ndustriellt byggande är </w:t>
      </w:r>
      <w:r w:rsidR="00FE2BF1">
        <w:rPr>
          <w:rFonts w:ascii="Tw Cen MT" w:hAnsi="Tw Cen MT"/>
        </w:rPr>
        <w:t xml:space="preserve">dock </w:t>
      </w:r>
      <w:r w:rsidR="001E3D4B" w:rsidRPr="00937211">
        <w:rPr>
          <w:rFonts w:ascii="Tw Cen MT" w:hAnsi="Tw Cen MT"/>
        </w:rPr>
        <w:t xml:space="preserve">inte en fråga om prefabricering utan </w:t>
      </w:r>
      <w:r w:rsidR="00A14F86">
        <w:rPr>
          <w:rFonts w:ascii="Tw Cen MT" w:hAnsi="Tw Cen MT"/>
        </w:rPr>
        <w:t xml:space="preserve">mer </w:t>
      </w:r>
      <w:r w:rsidR="001E3D4B" w:rsidRPr="00937211">
        <w:rPr>
          <w:rFonts w:ascii="Tw Cen MT" w:hAnsi="Tw Cen MT"/>
        </w:rPr>
        <w:t xml:space="preserve">om att standardisera vad man gör och hur, oberoende av material. Faktum är att flera framgångsrika </w:t>
      </w:r>
      <w:r w:rsidR="001828E3">
        <w:rPr>
          <w:rFonts w:ascii="Tw Cen MT" w:hAnsi="Tw Cen MT"/>
        </w:rPr>
        <w:t xml:space="preserve">industriella </w:t>
      </w:r>
      <w:r w:rsidR="001E3D4B" w:rsidRPr="00937211">
        <w:rPr>
          <w:rFonts w:ascii="Tw Cen MT" w:hAnsi="Tw Cen MT"/>
        </w:rPr>
        <w:t xml:space="preserve">koncept är </w:t>
      </w:r>
      <w:r w:rsidR="004014C9">
        <w:rPr>
          <w:rFonts w:ascii="Tw Cen MT" w:hAnsi="Tw Cen MT"/>
        </w:rPr>
        <w:t xml:space="preserve">plattformar där man kombinerar </w:t>
      </w:r>
      <w:r w:rsidR="001E3D4B" w:rsidRPr="00937211">
        <w:rPr>
          <w:rFonts w:ascii="Tw Cen MT" w:hAnsi="Tw Cen MT"/>
        </w:rPr>
        <w:t>platsbygg</w:t>
      </w:r>
      <w:r w:rsidR="004014C9">
        <w:rPr>
          <w:rFonts w:ascii="Tw Cen MT" w:hAnsi="Tw Cen MT"/>
        </w:rPr>
        <w:t>nation</w:t>
      </w:r>
      <w:r w:rsidR="001E3D4B" w:rsidRPr="00937211">
        <w:rPr>
          <w:rFonts w:ascii="Tw Cen MT" w:hAnsi="Tw Cen MT"/>
        </w:rPr>
        <w:t xml:space="preserve"> med hjälp av prefabricerade delar.</w:t>
      </w:r>
      <w:r w:rsidR="0052416F" w:rsidRPr="00937211">
        <w:rPr>
          <w:rFonts w:ascii="Tw Cen MT" w:hAnsi="Tw Cen MT"/>
        </w:rPr>
        <w:t xml:space="preserve"> </w:t>
      </w:r>
    </w:p>
    <w:p w:rsidR="00B26A41" w:rsidRDefault="0084780E" w:rsidP="00C7291B">
      <w:pPr>
        <w:rPr>
          <w:rFonts w:ascii="Tw Cen MT" w:hAnsi="Tw Cen MT"/>
        </w:rPr>
      </w:pPr>
      <w:r>
        <w:rPr>
          <w:rFonts w:ascii="Tw Cen MT" w:hAnsi="Tw Cen MT"/>
        </w:rPr>
        <w:t>En intressant fråga är hur marknaden, d</w:t>
      </w:r>
      <w:r w:rsidR="003F645A">
        <w:rPr>
          <w:rFonts w:ascii="Tw Cen MT" w:hAnsi="Tw Cen MT"/>
        </w:rPr>
        <w:t>.</w:t>
      </w:r>
      <w:r>
        <w:rPr>
          <w:rFonts w:ascii="Tw Cen MT" w:hAnsi="Tw Cen MT"/>
        </w:rPr>
        <w:t>v</w:t>
      </w:r>
      <w:r w:rsidR="003F645A">
        <w:rPr>
          <w:rFonts w:ascii="Tw Cen MT" w:hAnsi="Tw Cen MT"/>
        </w:rPr>
        <w:t>.</w:t>
      </w:r>
      <w:r>
        <w:rPr>
          <w:rFonts w:ascii="Tw Cen MT" w:hAnsi="Tw Cen MT"/>
        </w:rPr>
        <w:t>s</w:t>
      </w:r>
      <w:r w:rsidR="003F645A">
        <w:rPr>
          <w:rFonts w:ascii="Tw Cen MT" w:hAnsi="Tw Cen MT"/>
        </w:rPr>
        <w:t>.</w:t>
      </w:r>
      <w:r>
        <w:rPr>
          <w:rFonts w:ascii="Tw Cen MT" w:hAnsi="Tw Cen MT"/>
        </w:rPr>
        <w:t xml:space="preserve"> den faktiska användningen av olika stommaterial, har utvecklats </w:t>
      </w:r>
      <w:r w:rsidR="00B26A41">
        <w:rPr>
          <w:rFonts w:ascii="Tw Cen MT" w:hAnsi="Tw Cen MT"/>
        </w:rPr>
        <w:t>som en effekt av satsningar</w:t>
      </w:r>
      <w:r w:rsidR="001828E3">
        <w:rPr>
          <w:rFonts w:ascii="Tw Cen MT" w:hAnsi="Tw Cen MT"/>
        </w:rPr>
        <w:t>na</w:t>
      </w:r>
      <w:r w:rsidR="00B26A41">
        <w:rPr>
          <w:rFonts w:ascii="Tw Cen MT" w:hAnsi="Tw Cen MT"/>
        </w:rPr>
        <w:t>?</w:t>
      </w:r>
      <w:r>
        <w:rPr>
          <w:rFonts w:ascii="Tw Cen MT" w:hAnsi="Tw Cen MT"/>
        </w:rPr>
        <w:t xml:space="preserve"> Företrädare för </w:t>
      </w:r>
      <w:r w:rsidR="001828E3">
        <w:rPr>
          <w:rFonts w:ascii="Tw Cen MT" w:hAnsi="Tw Cen MT"/>
        </w:rPr>
        <w:t>trä</w:t>
      </w:r>
      <w:r w:rsidR="00223CDF">
        <w:rPr>
          <w:rFonts w:ascii="Tw Cen MT" w:hAnsi="Tw Cen MT"/>
        </w:rPr>
        <w:t xml:space="preserve"> har under senare år framfört att stommar i trä stadigt har ökat sina marknadsandelar i flerbostadshus under 2000-talet [1, 2, 3</w:t>
      </w:r>
      <w:r w:rsidR="008D7045">
        <w:rPr>
          <w:rFonts w:ascii="Tw Cen MT" w:hAnsi="Tw Cen MT"/>
        </w:rPr>
        <w:t xml:space="preserve">, </w:t>
      </w:r>
      <w:r w:rsidR="00223CDF">
        <w:rPr>
          <w:rFonts w:ascii="Tw Cen MT" w:hAnsi="Tw Cen MT"/>
        </w:rPr>
        <w:t>4</w:t>
      </w:r>
      <w:r w:rsidR="00110F00">
        <w:rPr>
          <w:rFonts w:ascii="Tw Cen MT" w:hAnsi="Tw Cen MT"/>
        </w:rPr>
        <w:t xml:space="preserve">]. Dessa </w:t>
      </w:r>
      <w:r w:rsidR="004014C9">
        <w:rPr>
          <w:rFonts w:ascii="Tw Cen MT" w:hAnsi="Tw Cen MT"/>
        </w:rPr>
        <w:t>anger i</w:t>
      </w:r>
      <w:r w:rsidR="008D7045">
        <w:rPr>
          <w:rFonts w:ascii="Tw Cen MT" w:hAnsi="Tw Cen MT"/>
        </w:rPr>
        <w:t xml:space="preserve"> vissa fall </w:t>
      </w:r>
      <w:r w:rsidR="004014C9">
        <w:rPr>
          <w:rFonts w:ascii="Tw Cen MT" w:hAnsi="Tw Cen MT"/>
        </w:rPr>
        <w:t xml:space="preserve">att </w:t>
      </w:r>
      <w:r w:rsidR="008D7045">
        <w:rPr>
          <w:rFonts w:ascii="Tw Cen MT" w:hAnsi="Tw Cen MT"/>
        </w:rPr>
        <w:t>marknadsandel</w:t>
      </w:r>
      <w:r w:rsidR="004014C9">
        <w:rPr>
          <w:rFonts w:ascii="Tw Cen MT" w:hAnsi="Tw Cen MT"/>
        </w:rPr>
        <w:t>en</w:t>
      </w:r>
      <w:r w:rsidR="00447699">
        <w:rPr>
          <w:rFonts w:ascii="Tw Cen MT" w:hAnsi="Tw Cen MT"/>
        </w:rPr>
        <w:t xml:space="preserve"> för trästommar</w:t>
      </w:r>
      <w:r w:rsidR="008D7045">
        <w:rPr>
          <w:rFonts w:ascii="Tw Cen MT" w:hAnsi="Tw Cen MT"/>
        </w:rPr>
        <w:t xml:space="preserve"> </w:t>
      </w:r>
      <w:r w:rsidR="007A4E7B">
        <w:rPr>
          <w:rFonts w:ascii="Tw Cen MT" w:hAnsi="Tw Cen MT"/>
        </w:rPr>
        <w:t xml:space="preserve">idag </w:t>
      </w:r>
      <w:r w:rsidR="00271B57">
        <w:rPr>
          <w:rFonts w:ascii="Tw Cen MT" w:hAnsi="Tw Cen MT"/>
        </w:rPr>
        <w:t xml:space="preserve">är </w:t>
      </w:r>
      <w:r w:rsidR="008D7045">
        <w:rPr>
          <w:rFonts w:ascii="Tw Cen MT" w:hAnsi="Tw Cen MT"/>
        </w:rPr>
        <w:t>uppemot 15</w:t>
      </w:r>
      <w:r w:rsidR="008D7045" w:rsidRPr="00D2775E">
        <w:rPr>
          <w:rFonts w:ascii="Tw Cen MT" w:hAnsi="Tw Cen MT"/>
        </w:rPr>
        <w:t>-20%</w:t>
      </w:r>
      <w:r w:rsidRPr="00D2775E">
        <w:rPr>
          <w:rFonts w:ascii="Tw Cen MT" w:hAnsi="Tw Cen MT"/>
        </w:rPr>
        <w:t>.</w:t>
      </w:r>
      <w:r>
        <w:rPr>
          <w:rFonts w:ascii="Tw Cen MT" w:hAnsi="Tw Cen MT"/>
        </w:rPr>
        <w:t xml:space="preserve"> </w:t>
      </w:r>
      <w:r w:rsidR="006762C8">
        <w:rPr>
          <w:rFonts w:ascii="Tw Cen MT" w:hAnsi="Tw Cen MT"/>
        </w:rPr>
        <w:t>Uppgifterna variera</w:t>
      </w:r>
      <w:r w:rsidR="00924336">
        <w:rPr>
          <w:rFonts w:ascii="Tw Cen MT" w:hAnsi="Tw Cen MT"/>
        </w:rPr>
        <w:t>r</w:t>
      </w:r>
      <w:r w:rsidR="006762C8">
        <w:rPr>
          <w:rFonts w:ascii="Tw Cen MT" w:hAnsi="Tw Cen MT"/>
        </w:rPr>
        <w:t xml:space="preserve"> dock och företrädare </w:t>
      </w:r>
      <w:r w:rsidR="00924336">
        <w:rPr>
          <w:rFonts w:ascii="Tw Cen MT" w:hAnsi="Tw Cen MT"/>
        </w:rPr>
        <w:t>för</w:t>
      </w:r>
      <w:r w:rsidR="006762C8">
        <w:rPr>
          <w:rFonts w:ascii="Tw Cen MT" w:hAnsi="Tw Cen MT"/>
        </w:rPr>
        <w:t xml:space="preserve"> betong </w:t>
      </w:r>
      <w:r w:rsidR="00924336">
        <w:rPr>
          <w:rFonts w:ascii="Tw Cen MT" w:hAnsi="Tw Cen MT"/>
        </w:rPr>
        <w:t>har r</w:t>
      </w:r>
      <w:r w:rsidR="006762C8">
        <w:rPr>
          <w:rFonts w:ascii="Tw Cen MT" w:hAnsi="Tw Cen MT"/>
        </w:rPr>
        <w:t>edovisa</w:t>
      </w:r>
      <w:r w:rsidR="00924336">
        <w:rPr>
          <w:rFonts w:ascii="Tw Cen MT" w:hAnsi="Tw Cen MT"/>
        </w:rPr>
        <w:t xml:space="preserve">t </w:t>
      </w:r>
      <w:r w:rsidR="006762C8">
        <w:rPr>
          <w:rFonts w:ascii="Tw Cen MT" w:hAnsi="Tw Cen MT"/>
        </w:rPr>
        <w:t xml:space="preserve">siffror som </w:t>
      </w:r>
      <w:r w:rsidR="008D7045">
        <w:rPr>
          <w:rFonts w:ascii="Tw Cen MT" w:hAnsi="Tw Cen MT"/>
        </w:rPr>
        <w:t xml:space="preserve">indikerar </w:t>
      </w:r>
      <w:r w:rsidR="001828E3">
        <w:rPr>
          <w:rFonts w:ascii="Tw Cen MT" w:hAnsi="Tw Cen MT"/>
        </w:rPr>
        <w:t>att marknadsandelen för betongstommar öka</w:t>
      </w:r>
      <w:r w:rsidR="004014C9">
        <w:rPr>
          <w:rFonts w:ascii="Tw Cen MT" w:hAnsi="Tw Cen MT"/>
        </w:rPr>
        <w:t>t sedan 2005</w:t>
      </w:r>
      <w:r w:rsidR="003F645A">
        <w:rPr>
          <w:rFonts w:ascii="Tw Cen MT" w:hAnsi="Tw Cen MT"/>
        </w:rPr>
        <w:t xml:space="preserve"> [</w:t>
      </w:r>
      <w:r w:rsidR="008D7045">
        <w:rPr>
          <w:rFonts w:ascii="Tw Cen MT" w:hAnsi="Tw Cen MT"/>
        </w:rPr>
        <w:t>5</w:t>
      </w:r>
      <w:r w:rsidR="003F645A">
        <w:rPr>
          <w:rFonts w:ascii="Tw Cen MT" w:hAnsi="Tw Cen MT"/>
        </w:rPr>
        <w:t>]</w:t>
      </w:r>
      <w:r w:rsidR="006762C8">
        <w:rPr>
          <w:rFonts w:ascii="Tw Cen MT" w:hAnsi="Tw Cen MT"/>
        </w:rPr>
        <w:t xml:space="preserve">. </w:t>
      </w:r>
      <w:r w:rsidR="008D7045">
        <w:rPr>
          <w:rFonts w:ascii="Tw Cen MT" w:hAnsi="Tw Cen MT"/>
        </w:rPr>
        <w:t xml:space="preserve">Vem har rätt och vem har fel? </w:t>
      </w:r>
      <w:r w:rsidR="006762C8">
        <w:rPr>
          <w:rFonts w:ascii="Tw Cen MT" w:hAnsi="Tw Cen MT"/>
        </w:rPr>
        <w:t>Problemet är att d</w:t>
      </w:r>
      <w:r>
        <w:rPr>
          <w:rFonts w:ascii="Tw Cen MT" w:hAnsi="Tw Cen MT"/>
        </w:rPr>
        <w:t xml:space="preserve">et saknas </w:t>
      </w:r>
      <w:r w:rsidR="00342753">
        <w:rPr>
          <w:rFonts w:ascii="Tw Cen MT" w:hAnsi="Tw Cen MT"/>
        </w:rPr>
        <w:t xml:space="preserve">en </w:t>
      </w:r>
      <w:r>
        <w:rPr>
          <w:rFonts w:ascii="Tw Cen MT" w:hAnsi="Tw Cen MT"/>
        </w:rPr>
        <w:t>transparent</w:t>
      </w:r>
      <w:r w:rsidR="00342753">
        <w:rPr>
          <w:rFonts w:ascii="Tw Cen MT" w:hAnsi="Tw Cen MT"/>
        </w:rPr>
        <w:t xml:space="preserve"> och </w:t>
      </w:r>
      <w:r>
        <w:rPr>
          <w:rFonts w:ascii="Tw Cen MT" w:hAnsi="Tw Cen MT"/>
        </w:rPr>
        <w:t>faktabaserad redovisn</w:t>
      </w:r>
      <w:r w:rsidR="00342753">
        <w:rPr>
          <w:rFonts w:ascii="Tw Cen MT" w:hAnsi="Tw Cen MT"/>
        </w:rPr>
        <w:t xml:space="preserve">ing </w:t>
      </w:r>
      <w:r>
        <w:rPr>
          <w:rFonts w:ascii="Tw Cen MT" w:hAnsi="Tw Cen MT"/>
        </w:rPr>
        <w:t>av denna typ av uppgifter.</w:t>
      </w:r>
    </w:p>
    <w:p w:rsidR="00BA6BD2" w:rsidRDefault="00B26A41" w:rsidP="00C7291B">
      <w:pPr>
        <w:rPr>
          <w:rFonts w:ascii="Tw Cen MT" w:hAnsi="Tw Cen MT"/>
        </w:rPr>
      </w:pPr>
      <w:r>
        <w:rPr>
          <w:rFonts w:ascii="Tw Cen MT" w:hAnsi="Tw Cen MT"/>
        </w:rPr>
        <w:t>Mot denna bakgrund avser denna artikel att</w:t>
      </w:r>
      <w:r w:rsidR="009C74E5">
        <w:rPr>
          <w:rFonts w:ascii="Tw Cen MT" w:hAnsi="Tw Cen MT"/>
        </w:rPr>
        <w:t xml:space="preserve"> </w:t>
      </w:r>
      <w:r w:rsidR="00A30A32">
        <w:rPr>
          <w:rFonts w:ascii="Tw Cen MT" w:hAnsi="Tw Cen MT"/>
        </w:rPr>
        <w:t xml:space="preserve">redovisa </w:t>
      </w:r>
      <w:r w:rsidR="009C74E5">
        <w:rPr>
          <w:rFonts w:ascii="Tw Cen MT" w:hAnsi="Tw Cen MT"/>
        </w:rPr>
        <w:t xml:space="preserve">uppgifter om olika stomtypers användning i flerbostadshus under 2000-talet. Redovisade uppgifter bygger på resultat från ett forskningsprojekt vid Lunds Tekniska Högskola samt på statistik inhämtad från Statistiska Centralbyrån. </w:t>
      </w:r>
      <w:r>
        <w:rPr>
          <w:rFonts w:ascii="Tw Cen MT" w:hAnsi="Tw Cen MT"/>
        </w:rPr>
        <w:t xml:space="preserve">  </w:t>
      </w:r>
      <w:r w:rsidR="0084780E">
        <w:rPr>
          <w:rFonts w:ascii="Tw Cen MT" w:hAnsi="Tw Cen MT"/>
        </w:rPr>
        <w:t xml:space="preserve">  </w:t>
      </w:r>
      <w:r w:rsidR="00044201">
        <w:rPr>
          <w:rFonts w:ascii="Tw Cen MT" w:hAnsi="Tw Cen MT"/>
        </w:rPr>
        <w:t xml:space="preserve">  </w:t>
      </w:r>
    </w:p>
    <w:p w:rsidR="00D600EC" w:rsidRPr="006463D9" w:rsidRDefault="00D600EC" w:rsidP="006463D9">
      <w:pPr>
        <w:pStyle w:val="Rubrik2"/>
        <w:spacing w:before="240" w:after="120"/>
        <w:rPr>
          <w:rFonts w:asciiTheme="minorHAnsi" w:hAnsiTheme="minorHAnsi"/>
        </w:rPr>
      </w:pPr>
      <w:r w:rsidRPr="006463D9">
        <w:rPr>
          <w:rFonts w:asciiTheme="minorHAnsi" w:hAnsiTheme="minorHAnsi"/>
        </w:rPr>
        <w:lastRenderedPageBreak/>
        <w:t xml:space="preserve">Forskningsprojekt </w:t>
      </w:r>
      <w:r w:rsidR="006463D9">
        <w:rPr>
          <w:rFonts w:asciiTheme="minorHAnsi" w:hAnsiTheme="minorHAnsi"/>
        </w:rPr>
        <w:t xml:space="preserve">har bidragit med kunskap </w:t>
      </w:r>
    </w:p>
    <w:p w:rsidR="00D600EC" w:rsidRDefault="005E3BC0" w:rsidP="00C7291B">
      <w:pPr>
        <w:rPr>
          <w:rFonts w:ascii="Tw Cen MT" w:hAnsi="Tw Cen MT"/>
        </w:rPr>
      </w:pPr>
      <w:r>
        <w:rPr>
          <w:rFonts w:ascii="Tw Cen MT" w:hAnsi="Tw Cen MT"/>
        </w:rPr>
        <w:t xml:space="preserve">Kunskap om användningen av olika stomtyper i flerbostadshus har succesivt byggts upp som en del i ett forskningsprojekt utfört vid Lunds Tekniska Högskola. Forskningsprojektets huvudsakliga syfte var att kartlägga användningen av produktionsmetoder för platsgjutna </w:t>
      </w:r>
      <w:r w:rsidR="004014C9">
        <w:rPr>
          <w:rFonts w:ascii="Tw Cen MT" w:hAnsi="Tw Cen MT"/>
        </w:rPr>
        <w:t>betong</w:t>
      </w:r>
      <w:r>
        <w:rPr>
          <w:rFonts w:ascii="Tw Cen MT" w:hAnsi="Tw Cen MT"/>
        </w:rPr>
        <w:t xml:space="preserve">stommar och </w:t>
      </w:r>
      <w:r w:rsidR="00994239">
        <w:rPr>
          <w:rFonts w:ascii="Tw Cen MT" w:hAnsi="Tw Cen MT"/>
        </w:rPr>
        <w:t xml:space="preserve">att </w:t>
      </w:r>
      <w:r>
        <w:rPr>
          <w:rFonts w:ascii="Tw Cen MT" w:hAnsi="Tw Cen MT"/>
        </w:rPr>
        <w:t xml:space="preserve">utvärdera dess effektiviseringspotential.   </w:t>
      </w:r>
    </w:p>
    <w:p w:rsidR="00D600EC" w:rsidRDefault="00994239" w:rsidP="00C7291B">
      <w:pPr>
        <w:rPr>
          <w:rFonts w:ascii="Tw Cen MT" w:hAnsi="Tw Cen MT"/>
        </w:rPr>
      </w:pPr>
      <w:r w:rsidRPr="00812F4C">
        <w:rPr>
          <w:rFonts w:ascii="Tw Cen MT" w:hAnsi="Tw Cen MT"/>
        </w:rPr>
        <w:t xml:space="preserve">För att säkerställa </w:t>
      </w:r>
      <w:r w:rsidR="00E331BB" w:rsidRPr="00812F4C">
        <w:rPr>
          <w:rFonts w:ascii="Tw Cen MT" w:hAnsi="Tw Cen MT"/>
        </w:rPr>
        <w:t>studiens validitet, d</w:t>
      </w:r>
      <w:r w:rsidR="003F645A">
        <w:rPr>
          <w:rFonts w:ascii="Tw Cen MT" w:hAnsi="Tw Cen MT"/>
        </w:rPr>
        <w:t>.</w:t>
      </w:r>
      <w:r w:rsidR="00E331BB" w:rsidRPr="00812F4C">
        <w:rPr>
          <w:rFonts w:ascii="Tw Cen MT" w:hAnsi="Tw Cen MT"/>
        </w:rPr>
        <w:t>v</w:t>
      </w:r>
      <w:r w:rsidR="003F645A">
        <w:rPr>
          <w:rFonts w:ascii="Tw Cen MT" w:hAnsi="Tw Cen MT"/>
        </w:rPr>
        <w:t>.</w:t>
      </w:r>
      <w:r w:rsidR="00E331BB" w:rsidRPr="00812F4C">
        <w:rPr>
          <w:rFonts w:ascii="Tw Cen MT" w:hAnsi="Tw Cen MT"/>
        </w:rPr>
        <w:t>s</w:t>
      </w:r>
      <w:r w:rsidR="003F645A">
        <w:rPr>
          <w:rFonts w:ascii="Tw Cen MT" w:hAnsi="Tw Cen MT"/>
        </w:rPr>
        <w:t>.</w:t>
      </w:r>
      <w:r w:rsidR="00E331BB" w:rsidRPr="00812F4C">
        <w:rPr>
          <w:rFonts w:ascii="Tw Cen MT" w:hAnsi="Tw Cen MT"/>
        </w:rPr>
        <w:t xml:space="preserve"> </w:t>
      </w:r>
      <w:r w:rsidRPr="00812F4C">
        <w:rPr>
          <w:rFonts w:ascii="Tw Cen MT" w:hAnsi="Tw Cen MT"/>
        </w:rPr>
        <w:t xml:space="preserve">att de projekt som valdes ut var representativa för det totala byggandet avseende storlek, geografisk </w:t>
      </w:r>
      <w:r w:rsidR="00A04499" w:rsidRPr="00812F4C">
        <w:rPr>
          <w:rFonts w:ascii="Tw Cen MT" w:hAnsi="Tw Cen MT"/>
        </w:rPr>
        <w:t>läge</w:t>
      </w:r>
      <w:r w:rsidRPr="00812F4C">
        <w:rPr>
          <w:rFonts w:ascii="Tw Cen MT" w:hAnsi="Tw Cen MT"/>
        </w:rPr>
        <w:t xml:space="preserve">, entreprenadform </w:t>
      </w:r>
      <w:r w:rsidR="00D84796" w:rsidRPr="00812F4C">
        <w:rPr>
          <w:rFonts w:ascii="Tw Cen MT" w:hAnsi="Tw Cen MT"/>
        </w:rPr>
        <w:t>etc</w:t>
      </w:r>
      <w:r w:rsidR="003F645A">
        <w:rPr>
          <w:rFonts w:ascii="Tw Cen MT" w:hAnsi="Tw Cen MT"/>
        </w:rPr>
        <w:t>.</w:t>
      </w:r>
      <w:r w:rsidRPr="00812F4C">
        <w:rPr>
          <w:rFonts w:ascii="Tw Cen MT" w:hAnsi="Tw Cen MT"/>
        </w:rPr>
        <w:t>, g</w:t>
      </w:r>
      <w:r w:rsidR="00E331BB" w:rsidRPr="00812F4C">
        <w:rPr>
          <w:rFonts w:ascii="Tw Cen MT" w:hAnsi="Tw Cen MT"/>
        </w:rPr>
        <w:t xml:space="preserve">enomfördes </w:t>
      </w:r>
      <w:r w:rsidRPr="00812F4C">
        <w:rPr>
          <w:rFonts w:ascii="Tw Cen MT" w:hAnsi="Tw Cen MT"/>
        </w:rPr>
        <w:t xml:space="preserve">en </w:t>
      </w:r>
      <w:r w:rsidR="0026251A">
        <w:rPr>
          <w:rFonts w:ascii="Tw Cen MT" w:hAnsi="Tw Cen MT"/>
        </w:rPr>
        <w:t>undersökning</w:t>
      </w:r>
      <w:r w:rsidRPr="00812F4C">
        <w:rPr>
          <w:rFonts w:ascii="Tw Cen MT" w:hAnsi="Tw Cen MT"/>
        </w:rPr>
        <w:t xml:space="preserve"> av </w:t>
      </w:r>
      <w:r w:rsidRPr="00A149CD">
        <w:rPr>
          <w:rFonts w:ascii="Tw Cen MT" w:hAnsi="Tw Cen MT"/>
          <w:b/>
          <w:i/>
        </w:rPr>
        <w:t>samtliga</w:t>
      </w:r>
      <w:r w:rsidRPr="00812F4C">
        <w:rPr>
          <w:rFonts w:ascii="Tw Cen MT" w:hAnsi="Tw Cen MT"/>
        </w:rPr>
        <w:t xml:space="preserve"> påbörjade </w:t>
      </w:r>
      <w:r w:rsidR="001828E3">
        <w:rPr>
          <w:rFonts w:ascii="Tw Cen MT" w:hAnsi="Tw Cen MT"/>
        </w:rPr>
        <w:t>flerbostads</w:t>
      </w:r>
      <w:r w:rsidR="007B5841">
        <w:rPr>
          <w:rFonts w:ascii="Tw Cen MT" w:hAnsi="Tw Cen MT"/>
        </w:rPr>
        <w:t>hus</w:t>
      </w:r>
      <w:r w:rsidR="001828E3">
        <w:rPr>
          <w:rFonts w:ascii="Tw Cen MT" w:hAnsi="Tw Cen MT"/>
        </w:rPr>
        <w:t>-</w:t>
      </w:r>
      <w:r w:rsidRPr="00812F4C">
        <w:rPr>
          <w:rFonts w:ascii="Tw Cen MT" w:hAnsi="Tw Cen MT"/>
        </w:rPr>
        <w:t xml:space="preserve">projekt under 2005. Denna undersökning åtföljdes av </w:t>
      </w:r>
      <w:r w:rsidR="00116BA9">
        <w:rPr>
          <w:rFonts w:ascii="Tw Cen MT" w:hAnsi="Tw Cen MT"/>
        </w:rPr>
        <w:t xml:space="preserve">en </w:t>
      </w:r>
      <w:r w:rsidR="001828E3">
        <w:rPr>
          <w:rFonts w:ascii="Tw Cen MT" w:hAnsi="Tw Cen MT"/>
        </w:rPr>
        <w:t xml:space="preserve">ny </w:t>
      </w:r>
      <w:r w:rsidR="00116BA9">
        <w:rPr>
          <w:rFonts w:ascii="Tw Cen MT" w:hAnsi="Tw Cen MT"/>
        </w:rPr>
        <w:t xml:space="preserve">undersökning </w:t>
      </w:r>
      <w:r w:rsidR="007B5841">
        <w:rPr>
          <w:rFonts w:ascii="Tw Cen MT" w:hAnsi="Tw Cen MT"/>
        </w:rPr>
        <w:t xml:space="preserve">gällande </w:t>
      </w:r>
      <w:r w:rsidR="00116BA9">
        <w:rPr>
          <w:rFonts w:ascii="Tw Cen MT" w:hAnsi="Tw Cen MT"/>
        </w:rPr>
        <w:t>år 2012.</w:t>
      </w:r>
      <w:r w:rsidR="001F04E1">
        <w:rPr>
          <w:rFonts w:ascii="Tw Cen MT" w:hAnsi="Tw Cen MT"/>
        </w:rPr>
        <w:t xml:space="preserve"> För att komplettera de två LTH-undersökningarna med mätdata som omfattar en längre sammanhängande period har även statistik från SCB för perioden 2000-2012 inhämtats och bearbetats. Mer om hur LTH-undersökningarna har genomförts och hur SCB-statistiken har använts beskrivs i de två avslutande avsnitten i denna artikel. </w:t>
      </w:r>
      <w:r w:rsidR="00441AF0">
        <w:rPr>
          <w:rFonts w:ascii="Tw Cen MT" w:hAnsi="Tw Cen MT"/>
        </w:rPr>
        <w:t>Ytterligare i</w:t>
      </w:r>
      <w:r w:rsidR="0026251A">
        <w:rPr>
          <w:rFonts w:ascii="Tw Cen MT" w:hAnsi="Tw Cen MT"/>
        </w:rPr>
        <w:t xml:space="preserve">nformation </w:t>
      </w:r>
      <w:r w:rsidR="00441AF0">
        <w:rPr>
          <w:rFonts w:ascii="Tw Cen MT" w:hAnsi="Tw Cen MT"/>
        </w:rPr>
        <w:t xml:space="preserve">finns </w:t>
      </w:r>
      <w:r w:rsidR="00116BA9">
        <w:rPr>
          <w:rFonts w:ascii="Tw Cen MT" w:hAnsi="Tw Cen MT"/>
        </w:rPr>
        <w:t xml:space="preserve">också </w:t>
      </w:r>
      <w:r w:rsidR="00441AF0">
        <w:rPr>
          <w:rFonts w:ascii="Tw Cen MT" w:hAnsi="Tw Cen MT"/>
        </w:rPr>
        <w:t>att läsa i</w:t>
      </w:r>
      <w:r w:rsidR="0026251A">
        <w:rPr>
          <w:rFonts w:ascii="Tw Cen MT" w:hAnsi="Tw Cen MT"/>
        </w:rPr>
        <w:t xml:space="preserve"> två separata LTH-rapporter </w:t>
      </w:r>
      <w:r w:rsidR="00E74A4E" w:rsidRPr="007757B3">
        <w:rPr>
          <w:rFonts w:ascii="Tw Cen MT" w:hAnsi="Tw Cen MT"/>
        </w:rPr>
        <w:t>[</w:t>
      </w:r>
      <w:r w:rsidR="008D7045">
        <w:rPr>
          <w:rFonts w:ascii="Tw Cen MT" w:hAnsi="Tw Cen MT"/>
        </w:rPr>
        <w:t>6</w:t>
      </w:r>
      <w:r w:rsidR="00E74A4E" w:rsidRPr="007757B3">
        <w:rPr>
          <w:rFonts w:ascii="Tw Cen MT" w:hAnsi="Tw Cen MT"/>
        </w:rPr>
        <w:t>,</w:t>
      </w:r>
      <w:r w:rsidR="0026251A">
        <w:rPr>
          <w:rFonts w:ascii="Tw Cen MT" w:hAnsi="Tw Cen MT"/>
        </w:rPr>
        <w:t xml:space="preserve"> </w:t>
      </w:r>
      <w:r w:rsidR="008D7045">
        <w:rPr>
          <w:rFonts w:ascii="Tw Cen MT" w:hAnsi="Tw Cen MT"/>
        </w:rPr>
        <w:t>7</w:t>
      </w:r>
      <w:r w:rsidR="00E74A4E" w:rsidRPr="007757B3">
        <w:rPr>
          <w:rFonts w:ascii="Tw Cen MT" w:hAnsi="Tw Cen MT"/>
        </w:rPr>
        <w:t>].</w:t>
      </w:r>
    </w:p>
    <w:p w:rsidR="00BE7DEE" w:rsidRPr="006463D9" w:rsidRDefault="00BE7DEE" w:rsidP="00BE7DEE">
      <w:pPr>
        <w:pStyle w:val="Rubrik2"/>
        <w:spacing w:before="240" w:after="120"/>
        <w:rPr>
          <w:rFonts w:asciiTheme="minorHAnsi" w:hAnsiTheme="minorHAnsi"/>
        </w:rPr>
      </w:pPr>
      <w:r w:rsidRPr="006463D9">
        <w:rPr>
          <w:rFonts w:asciiTheme="minorHAnsi" w:hAnsiTheme="minorHAnsi"/>
        </w:rPr>
        <w:t>Resultat</w:t>
      </w:r>
    </w:p>
    <w:p w:rsidR="00BE7DEE" w:rsidRDefault="00BE7DEE" w:rsidP="00BE7DEE">
      <w:pPr>
        <w:jc w:val="both"/>
        <w:rPr>
          <w:rFonts w:ascii="Tw Cen MT" w:hAnsi="Tw Cen MT"/>
        </w:rPr>
      </w:pPr>
      <w:r>
        <w:rPr>
          <w:rFonts w:ascii="Tw Cen MT" w:hAnsi="Tw Cen MT"/>
        </w:rPr>
        <w:t xml:space="preserve">I figur 1a redovisas fördelningen av stomtyper i flerbostadshus för perioden 2000-2012 </w:t>
      </w:r>
      <w:r w:rsidR="001F04E1">
        <w:rPr>
          <w:rFonts w:ascii="Tw Cen MT" w:hAnsi="Tw Cen MT"/>
        </w:rPr>
        <w:t xml:space="preserve">baserat på SCB:s statistik och i figur 1b redovisas LTH:s </w:t>
      </w:r>
      <w:r>
        <w:rPr>
          <w:rFonts w:ascii="Tw Cen MT" w:hAnsi="Tw Cen MT"/>
        </w:rPr>
        <w:t>totalundersökningar</w:t>
      </w:r>
      <w:r w:rsidR="001F04E1">
        <w:rPr>
          <w:rFonts w:ascii="Tw Cen MT" w:hAnsi="Tw Cen MT"/>
        </w:rPr>
        <w:t xml:space="preserve"> för </w:t>
      </w:r>
      <w:r>
        <w:rPr>
          <w:rFonts w:ascii="Tw Cen MT" w:hAnsi="Tw Cen MT"/>
        </w:rPr>
        <w:t>2005 och 2012. Utgående från SCB-statistiken så har marknadsandelen för tunga stommar varierat mellan 80-84 % under perioden 2000-2006 och 86-91% under 2007-2012 (figur 1a)</w:t>
      </w:r>
      <w:r w:rsidRPr="00AE61E7">
        <w:rPr>
          <w:rFonts w:ascii="Tw Cen MT" w:hAnsi="Tw Cen MT"/>
        </w:rPr>
        <w:t xml:space="preserve">. </w:t>
      </w:r>
      <w:r>
        <w:rPr>
          <w:rFonts w:ascii="Tw Cen MT" w:hAnsi="Tw Cen MT"/>
        </w:rPr>
        <w:t xml:space="preserve">Ökningen i andelen tunga stommar mellan de båda tidsperioderna beror </w:t>
      </w:r>
      <w:r w:rsidR="001F04E1">
        <w:rPr>
          <w:rFonts w:ascii="Tw Cen MT" w:hAnsi="Tw Cen MT"/>
        </w:rPr>
        <w:t>trolig</w:t>
      </w:r>
      <w:r>
        <w:rPr>
          <w:rFonts w:ascii="Tw Cen MT" w:hAnsi="Tw Cen MT"/>
        </w:rPr>
        <w:t>en på att de stomrelaterade frågorna ändrades 2007 med följden att många av de objekt som tidigare klassades som ”annat” numera klassas som ”tung”. Enligt totalundersökningarna gjorda av LTH så var a</w:t>
      </w:r>
      <w:r w:rsidRPr="00AE61E7">
        <w:rPr>
          <w:rFonts w:ascii="Tw Cen MT" w:hAnsi="Tw Cen MT"/>
        </w:rPr>
        <w:t>ndelen tunga stommar 84</w:t>
      </w:r>
      <w:r>
        <w:rPr>
          <w:rFonts w:ascii="Tw Cen MT" w:hAnsi="Tw Cen MT"/>
        </w:rPr>
        <w:t xml:space="preserve"> %</w:t>
      </w:r>
      <w:r w:rsidRPr="00AE61E7">
        <w:rPr>
          <w:rFonts w:ascii="Tw Cen MT" w:hAnsi="Tw Cen MT"/>
        </w:rPr>
        <w:t xml:space="preserve"> </w:t>
      </w:r>
      <w:r>
        <w:rPr>
          <w:rFonts w:ascii="Tw Cen MT" w:hAnsi="Tw Cen MT"/>
        </w:rPr>
        <w:t xml:space="preserve">år 2005 och </w:t>
      </w:r>
      <w:r w:rsidRPr="00AE61E7">
        <w:rPr>
          <w:rFonts w:ascii="Tw Cen MT" w:hAnsi="Tw Cen MT"/>
        </w:rPr>
        <w:t>92</w:t>
      </w:r>
      <w:r>
        <w:rPr>
          <w:rFonts w:ascii="Tw Cen MT" w:hAnsi="Tw Cen MT"/>
        </w:rPr>
        <w:t xml:space="preserve"> </w:t>
      </w:r>
      <w:r w:rsidRPr="00AE61E7">
        <w:rPr>
          <w:rFonts w:ascii="Tw Cen MT" w:hAnsi="Tw Cen MT"/>
        </w:rPr>
        <w:t>% år 2012.</w:t>
      </w:r>
      <w:r>
        <w:rPr>
          <w:rFonts w:ascii="Tw Cen MT" w:hAnsi="Tw Cen MT"/>
        </w:rPr>
        <w:t xml:space="preserve"> </w:t>
      </w:r>
    </w:p>
    <w:p w:rsidR="00BE7DEE" w:rsidRDefault="00BE7DEE" w:rsidP="00BE7DEE">
      <w:pPr>
        <w:jc w:val="both"/>
        <w:rPr>
          <w:rFonts w:ascii="Tw Cen MT" w:hAnsi="Tw Cen MT"/>
        </w:rPr>
      </w:pPr>
      <w:r>
        <w:rPr>
          <w:rFonts w:ascii="Tw Cen MT" w:hAnsi="Tw Cen MT"/>
        </w:rPr>
        <w:t xml:space="preserve">Andelen lätta stommar ökade enligt SCB från 7 % år 2000 till 11 % år 2006 (figur 1a). Därefter har andelen lätta stommar varierat kring ett genomsnitt på 10 %. Det går inte att urskilja någon varaktig ökning eller minskning </w:t>
      </w:r>
      <w:r w:rsidR="00474BA5">
        <w:rPr>
          <w:rFonts w:ascii="Tw Cen MT" w:hAnsi="Tw Cen MT"/>
        </w:rPr>
        <w:t xml:space="preserve">under </w:t>
      </w:r>
      <w:r>
        <w:rPr>
          <w:rFonts w:ascii="Tw Cen MT" w:hAnsi="Tw Cen MT"/>
        </w:rPr>
        <w:t xml:space="preserve">perioden 2007-2012. </w:t>
      </w:r>
      <w:r w:rsidRPr="002A6C62">
        <w:rPr>
          <w:rFonts w:ascii="Tw Cen MT" w:hAnsi="Tw Cen MT"/>
        </w:rPr>
        <w:t>Enligt LTH</w:t>
      </w:r>
      <w:r>
        <w:rPr>
          <w:rFonts w:ascii="Tw Cen MT" w:hAnsi="Tw Cen MT"/>
        </w:rPr>
        <w:t>:s total</w:t>
      </w:r>
      <w:r w:rsidRPr="002A6C62">
        <w:rPr>
          <w:rFonts w:ascii="Tw Cen MT" w:hAnsi="Tw Cen MT"/>
        </w:rPr>
        <w:t xml:space="preserve">undersökningar </w:t>
      </w:r>
      <w:r>
        <w:rPr>
          <w:rFonts w:ascii="Tw Cen MT" w:hAnsi="Tw Cen MT"/>
        </w:rPr>
        <w:t xml:space="preserve">så </w:t>
      </w:r>
      <w:r w:rsidRPr="002A6C62">
        <w:rPr>
          <w:rFonts w:ascii="Tw Cen MT" w:hAnsi="Tw Cen MT"/>
        </w:rPr>
        <w:t>var andelen lätta stommar 16</w:t>
      </w:r>
      <w:r>
        <w:rPr>
          <w:rFonts w:ascii="Tw Cen MT" w:hAnsi="Tw Cen MT"/>
        </w:rPr>
        <w:t xml:space="preserve"> </w:t>
      </w:r>
      <w:r w:rsidRPr="002A6C62">
        <w:rPr>
          <w:rFonts w:ascii="Tw Cen MT" w:hAnsi="Tw Cen MT"/>
        </w:rPr>
        <w:t>%</w:t>
      </w:r>
      <w:r>
        <w:rPr>
          <w:rFonts w:ascii="Tw Cen MT" w:hAnsi="Tw Cen MT"/>
        </w:rPr>
        <w:t xml:space="preserve"> år</w:t>
      </w:r>
      <w:r w:rsidRPr="002A6C62">
        <w:rPr>
          <w:rFonts w:ascii="Tw Cen MT" w:hAnsi="Tw Cen MT"/>
        </w:rPr>
        <w:t xml:space="preserve"> 2005 och 8</w:t>
      </w:r>
      <w:r>
        <w:rPr>
          <w:rFonts w:ascii="Tw Cen MT" w:hAnsi="Tw Cen MT"/>
        </w:rPr>
        <w:t xml:space="preserve"> </w:t>
      </w:r>
      <w:r w:rsidRPr="002A6C62">
        <w:rPr>
          <w:rFonts w:ascii="Tw Cen MT" w:hAnsi="Tw Cen MT"/>
        </w:rPr>
        <w:t xml:space="preserve">% </w:t>
      </w:r>
      <w:r>
        <w:rPr>
          <w:rFonts w:ascii="Tw Cen MT" w:hAnsi="Tw Cen MT"/>
        </w:rPr>
        <w:t xml:space="preserve">år </w:t>
      </w:r>
      <w:r w:rsidRPr="002A6C62">
        <w:rPr>
          <w:rFonts w:ascii="Tw Cen MT" w:hAnsi="Tw Cen MT"/>
        </w:rPr>
        <w:t>2012.</w:t>
      </w:r>
      <w:r>
        <w:rPr>
          <w:rFonts w:ascii="Tw Cen MT" w:hAnsi="Tw Cen MT"/>
          <w:color w:val="FF0000"/>
        </w:rPr>
        <w:t xml:space="preserve"> </w:t>
      </w:r>
      <w:r>
        <w:rPr>
          <w:rFonts w:ascii="Tw Cen MT" w:hAnsi="Tw Cen MT"/>
        </w:rPr>
        <w:t xml:space="preserve">Den höga andelen som uppmättes för 2005 kan möjligen förklaras av att det under 2005 byggdes fler flerbostadshus med 1-2 våningar där lätta stommar är mer vanligt förekommande. Andelen låga hus var 18 % år 2005 jämfört med 12 % som var genomsnittet för hela perioden 2000-2012. Skillnaderna är större vad gäller lätta stommar mellan SCB:s statistik och LTH-undersökningar vilket kan bero på att specialbostäder, där lätta stommar är vanliga, ingår i LTH-undersökningarna men inte i SCB:s statistik. Specialbostäder utgjorde 17 % av totalt antal flerbostadshus år 2005 vilket kan jämföras med 11 % för år 2012. Detta kan förklara varför avvikelsen mellan de båda datakällorna är större för år 2005 jämfört med 2012.     </w:t>
      </w:r>
    </w:p>
    <w:p w:rsidR="00BE7DEE" w:rsidRDefault="00BE7DEE" w:rsidP="00BE7DEE">
      <w:pPr>
        <w:rPr>
          <w:rFonts w:asciiTheme="minorHAnsi" w:hAnsiTheme="minorHAnsi"/>
        </w:rPr>
      </w:pPr>
      <w:r w:rsidRPr="00110F00">
        <w:rPr>
          <w:rFonts w:asciiTheme="minorHAnsi" w:hAnsiTheme="minorHAnsi"/>
          <w:noProof/>
        </w:rPr>
        <w:lastRenderedPageBreak/>
        <w:drawing>
          <wp:inline distT="0" distB="0" distL="0" distR="0" wp14:anchorId="1D397D9F" wp14:editId="4194EE97">
            <wp:extent cx="5943600" cy="21405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1a-1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140585"/>
                    </a:xfrm>
                    <a:prstGeom prst="rect">
                      <a:avLst/>
                    </a:prstGeom>
                  </pic:spPr>
                </pic:pic>
              </a:graphicData>
            </a:graphic>
          </wp:inline>
        </w:drawing>
      </w:r>
    </w:p>
    <w:p w:rsidR="00BE7DEE" w:rsidRDefault="00BE7DEE" w:rsidP="00BE7DEE">
      <w:pPr>
        <w:rPr>
          <w:rFonts w:asciiTheme="minorHAnsi" w:hAnsiTheme="minorHAnsi"/>
        </w:rPr>
      </w:pPr>
      <w:r w:rsidRPr="00110F00">
        <w:rPr>
          <w:rFonts w:asciiTheme="minorHAnsi" w:hAnsiTheme="minorHAnsi"/>
          <w:noProof/>
        </w:rPr>
        <w:drawing>
          <wp:inline distT="0" distB="0" distL="0" distR="0" wp14:anchorId="0991E8AE" wp14:editId="3D981C2D">
            <wp:extent cx="5943600" cy="222377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2a-2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23770"/>
                    </a:xfrm>
                    <a:prstGeom prst="rect">
                      <a:avLst/>
                    </a:prstGeom>
                  </pic:spPr>
                </pic:pic>
              </a:graphicData>
            </a:graphic>
          </wp:inline>
        </w:drawing>
      </w:r>
    </w:p>
    <w:p w:rsidR="00BE7DEE" w:rsidRDefault="00BE7DEE" w:rsidP="00BE7DEE">
      <w:pPr>
        <w:rPr>
          <w:rFonts w:ascii="Tw Cen MT" w:hAnsi="Tw Cen MT"/>
        </w:rPr>
      </w:pPr>
      <w:r w:rsidRPr="00A505B2">
        <w:rPr>
          <w:rFonts w:ascii="Tw Cen MT" w:hAnsi="Tw Cen MT"/>
        </w:rPr>
        <w:t xml:space="preserve">Ser man till flerbostadshus med tre eller fler våningar, d.v.s. den typ av byggnader som är vanliga i tätbebyggda områden så är tunga stommar än mer dominerande. I figur </w:t>
      </w:r>
      <w:r>
        <w:rPr>
          <w:rFonts w:ascii="Tw Cen MT" w:hAnsi="Tw Cen MT"/>
        </w:rPr>
        <w:t>2</w:t>
      </w:r>
      <w:r w:rsidRPr="00A505B2">
        <w:rPr>
          <w:rFonts w:ascii="Tw Cen MT" w:hAnsi="Tw Cen MT"/>
        </w:rPr>
        <w:t>a redovisas fördelningen av tunga och lätta stommar i flerbostadshus med tre eller fler våningar baserat på SCB</w:t>
      </w:r>
      <w:r>
        <w:rPr>
          <w:rFonts w:ascii="Tw Cen MT" w:hAnsi="Tw Cen MT"/>
        </w:rPr>
        <w:t>:</w:t>
      </w:r>
      <w:r w:rsidRPr="00A505B2">
        <w:rPr>
          <w:rFonts w:ascii="Tw Cen MT" w:hAnsi="Tw Cen MT"/>
        </w:rPr>
        <w:t>s</w:t>
      </w:r>
      <w:r>
        <w:rPr>
          <w:rFonts w:ascii="Tw Cen MT" w:hAnsi="Tw Cen MT"/>
        </w:rPr>
        <w:t xml:space="preserve"> statistik. Andelen tunga stommar i hus med tre eller fler våningar har ökat från 88-95 % under perioden 2000-2006 till 93-96 % under perioden 2007-2012. Andelen tunga stommar ökade enligt LTH-undersökningarna från 92 % år 2005 till 96 % år 2012 (figur 2b).  </w:t>
      </w:r>
    </w:p>
    <w:p w:rsidR="00BE7DEE" w:rsidRDefault="00BE7DEE" w:rsidP="00BE7DEE">
      <w:pPr>
        <w:rPr>
          <w:rFonts w:ascii="Tw Cen MT" w:hAnsi="Tw Cen MT"/>
        </w:rPr>
      </w:pPr>
      <w:r>
        <w:rPr>
          <w:rFonts w:ascii="Tw Cen MT" w:hAnsi="Tw Cen MT"/>
        </w:rPr>
        <w:t xml:space="preserve">Andelen lätta stommar i hus med tre eller fler våningar ökade från 1 till 6 % under perioden 2000-2006 enligt SCB:s statistik (figur 2a). Därefter har andelen lätta stommar inte ökat utan istället varit i det närmaste oförändrad omkring 5 %. Enligt LTH:s totalundersökningar så minskade t.o.m. andelen lätta stommar från 8 % år 2005 till 4 % år 2012. </w:t>
      </w:r>
    </w:p>
    <w:p w:rsidR="00BE7DEE" w:rsidRDefault="00BE7DEE" w:rsidP="00BE7DEE">
      <w:pPr>
        <w:pStyle w:val="Rubrik2"/>
        <w:spacing w:before="240" w:after="120"/>
        <w:rPr>
          <w:rFonts w:asciiTheme="minorHAnsi" w:hAnsiTheme="minorHAnsi"/>
        </w:rPr>
      </w:pPr>
      <w:r>
        <w:rPr>
          <w:rFonts w:asciiTheme="minorHAnsi" w:hAnsiTheme="minorHAnsi"/>
        </w:rPr>
        <w:t>Övriga fakta från LTH</w:t>
      </w:r>
      <w:r w:rsidR="00293B02">
        <w:rPr>
          <w:rFonts w:asciiTheme="minorHAnsi" w:hAnsiTheme="minorHAnsi"/>
        </w:rPr>
        <w:t>:</w:t>
      </w:r>
      <w:r>
        <w:rPr>
          <w:rFonts w:asciiTheme="minorHAnsi" w:hAnsiTheme="minorHAnsi"/>
        </w:rPr>
        <w:t>s totalundersökning</w:t>
      </w:r>
    </w:p>
    <w:p w:rsidR="00BE7DEE" w:rsidRPr="002F4F58" w:rsidRDefault="00BE7DEE" w:rsidP="00BE7DEE">
      <w:pPr>
        <w:rPr>
          <w:rFonts w:ascii="Tw Cen MT" w:hAnsi="Tw Cen MT"/>
        </w:rPr>
      </w:pPr>
      <w:r w:rsidRPr="002F4F58">
        <w:rPr>
          <w:rFonts w:ascii="Tw Cen MT" w:hAnsi="Tw Cen MT"/>
        </w:rPr>
        <w:t xml:space="preserve">Som angavs initialt i artikeln finns mycket mer fakta kring flerbostadsbyggandet 2012 i det dataunderlag som samlats in. Kopplat till LTH-forskningsprojektets nuvarande fokus på leverantörslogistiken har preliminära studier av faktiska transporter, med beaktande av att </w:t>
      </w:r>
      <w:r>
        <w:rPr>
          <w:rFonts w:ascii="Tw Cen MT" w:hAnsi="Tw Cen MT"/>
        </w:rPr>
        <w:t>olika</w:t>
      </w:r>
      <w:r w:rsidRPr="002F4F58">
        <w:rPr>
          <w:rFonts w:ascii="Tw Cen MT" w:hAnsi="Tw Cen MT"/>
        </w:rPr>
        <w:t xml:space="preserve"> stom</w:t>
      </w:r>
      <w:r>
        <w:rPr>
          <w:rFonts w:ascii="Tw Cen MT" w:hAnsi="Tw Cen MT"/>
        </w:rPr>
        <w:t>typer</w:t>
      </w:r>
      <w:r w:rsidRPr="002F4F58">
        <w:rPr>
          <w:rFonts w:ascii="Tw Cen MT" w:hAnsi="Tw Cen MT"/>
        </w:rPr>
        <w:t xml:space="preserve"> kräver </w:t>
      </w:r>
      <w:r>
        <w:rPr>
          <w:rFonts w:ascii="Tw Cen MT" w:hAnsi="Tw Cen MT"/>
        </w:rPr>
        <w:t>olika antal transporter</w:t>
      </w:r>
      <w:r w:rsidRPr="002F4F58">
        <w:rPr>
          <w:rFonts w:ascii="Tw Cen MT" w:hAnsi="Tw Cen MT"/>
        </w:rPr>
        <w:t>, gjorts. Resultaten visar att transp</w:t>
      </w:r>
      <w:r>
        <w:rPr>
          <w:rFonts w:ascii="Tw Cen MT" w:hAnsi="Tw Cen MT"/>
        </w:rPr>
        <w:t>ortavståndet</w:t>
      </w:r>
      <w:r w:rsidRPr="002F4F58">
        <w:rPr>
          <w:rFonts w:ascii="Tw Cen MT" w:hAnsi="Tw Cen MT"/>
        </w:rPr>
        <w:t xml:space="preserve"> i genomsnitt, uttryckt</w:t>
      </w:r>
      <w:r>
        <w:rPr>
          <w:rFonts w:ascii="Tw Cen MT" w:hAnsi="Tw Cen MT"/>
        </w:rPr>
        <w:t xml:space="preserve"> i km</w:t>
      </w:r>
      <w:r w:rsidRPr="002F4F58">
        <w:rPr>
          <w:rFonts w:ascii="Tw Cen MT" w:hAnsi="Tw Cen MT"/>
        </w:rPr>
        <w:t xml:space="preserve"> per likvärdig lägenhet i flerbostadshus, var nästan dubbelt så </w:t>
      </w:r>
      <w:r w:rsidR="001F04E1">
        <w:rPr>
          <w:rFonts w:ascii="Tw Cen MT" w:hAnsi="Tw Cen MT"/>
        </w:rPr>
        <w:t>stor</w:t>
      </w:r>
      <w:r w:rsidRPr="002F4F58">
        <w:rPr>
          <w:rFonts w:ascii="Tw Cen MT" w:hAnsi="Tw Cen MT"/>
        </w:rPr>
        <w:t xml:space="preserve"> för lätta stommar än för tunga stommar. </w:t>
      </w:r>
      <w:r>
        <w:rPr>
          <w:rFonts w:ascii="Tw Cen MT" w:hAnsi="Tw Cen MT"/>
        </w:rPr>
        <w:t>Detta kommer att rapporteras senare i en separat artikel.</w:t>
      </w:r>
    </w:p>
    <w:p w:rsidR="00BE7DEE" w:rsidRPr="00627E2F" w:rsidRDefault="00BE7DEE" w:rsidP="00BE7DEE">
      <w:pPr>
        <w:pStyle w:val="Rubrik2"/>
        <w:spacing w:before="240" w:after="120"/>
        <w:rPr>
          <w:rFonts w:asciiTheme="minorHAnsi" w:hAnsiTheme="minorHAnsi"/>
        </w:rPr>
      </w:pPr>
      <w:r>
        <w:rPr>
          <w:rFonts w:asciiTheme="minorHAnsi" w:hAnsiTheme="minorHAnsi"/>
        </w:rPr>
        <w:lastRenderedPageBreak/>
        <w:t>K</w:t>
      </w:r>
      <w:r w:rsidRPr="00627E2F">
        <w:rPr>
          <w:rFonts w:asciiTheme="minorHAnsi" w:hAnsiTheme="minorHAnsi"/>
        </w:rPr>
        <w:t>ommentar</w:t>
      </w:r>
      <w:r>
        <w:rPr>
          <w:rFonts w:asciiTheme="minorHAnsi" w:hAnsiTheme="minorHAnsi"/>
        </w:rPr>
        <w:t xml:space="preserve"> till redovisade uppgifter</w:t>
      </w:r>
    </w:p>
    <w:p w:rsidR="00BE7DEE" w:rsidRDefault="00BE7DEE" w:rsidP="00BE7DEE">
      <w:pPr>
        <w:rPr>
          <w:rFonts w:ascii="Tw Cen MT" w:hAnsi="Tw Cen MT"/>
        </w:rPr>
      </w:pPr>
      <w:r>
        <w:rPr>
          <w:rFonts w:ascii="Tw Cen MT" w:hAnsi="Tw Cen MT"/>
        </w:rPr>
        <w:t xml:space="preserve">Både SCB-statistiken och LTH-undersökningarna som presenterats i denna artikel ger en samstämmig bild över hur användningen av stomtyper har sett ut under 2000-talet. LTH-undersökningarna har en hög tillförlitlighet för de båda åren 2005 respektive 2012 eftersom de omfattar mer eller mindre alla påbörjade projekt. SCB:s statistik baseras på en snävare population men omfattar å andra sidan en längre sammanhängande mätperiod. </w:t>
      </w:r>
    </w:p>
    <w:p w:rsidR="00BE7DEE" w:rsidRDefault="00BE7DEE" w:rsidP="00BE7DEE">
      <w:pPr>
        <w:rPr>
          <w:rFonts w:ascii="Tw Cen MT" w:hAnsi="Tw Cen MT"/>
        </w:rPr>
      </w:pPr>
      <w:r>
        <w:rPr>
          <w:rFonts w:ascii="Tw Cen MT" w:hAnsi="Tw Cen MT"/>
        </w:rPr>
        <w:t xml:space="preserve">Redovisade uppgifter visar på att andelen tunga stommar i alla flerbostadshus är helt dominerande. Enligt SCB så har marknadsandelarna för både lätta, dvs summan av trä- och stålstommar, (ca 10 %) och tunga stommar (ca 89 %) varit relativt oförändrade under perioden 2007-2012. Andelen lätta stommar ökade med ca 5 procentenheter mellan 2000 och 2006 även om kategorin ”Annat” gör det hela svåranalyserat. Totalundersökningarna utförda vid LTH visar på att tunga stommar ökat från 84 % år 2005 till 92 % år 2012 medan andelen lätta stommar minskat från 16 % till 8 % för motsvarande år. I artikeln förklaras dessa skillnader mellan källorna dels med att specialbostäder inte fullt ut ingår i SCB:s studie dels att andelen låga byggnader, dvs 1-2 våningar, var betydligt högre 2005 jämfört med 2012. </w:t>
      </w:r>
    </w:p>
    <w:p w:rsidR="00BE7DEE" w:rsidRDefault="00BE7DEE" w:rsidP="00BE7DEE">
      <w:pPr>
        <w:rPr>
          <w:rFonts w:ascii="Tw Cen MT" w:hAnsi="Tw Cen MT"/>
        </w:rPr>
      </w:pPr>
      <w:r>
        <w:rPr>
          <w:rFonts w:ascii="Tw Cen MT" w:hAnsi="Tw Cen MT"/>
        </w:rPr>
        <w:t>Ser man till hus med tre eller fler våningar har, enligt SCB, andelen tunga stommar varit 95 % i genomsnitt för perioden 2007-2012 medan andelen lätta stommar varit 5 % i genomsnitt under samma period. Vidare så kan konstateras att andelen lätta stommar enligt SCB varit i stort sett oförändrad från 2007 och fram till 2012. Samtidigt visar LTH-undersökningarna på att tunga stommar ökat från 92 % år 2005 till 96 % år 2012 och</w:t>
      </w:r>
      <w:r w:rsidRPr="0072661F">
        <w:rPr>
          <w:rFonts w:ascii="Tw Cen MT" w:hAnsi="Tw Cen MT"/>
        </w:rPr>
        <w:t xml:space="preserve"> andelen lätta stommar har minskat från 8</w:t>
      </w:r>
      <w:r>
        <w:rPr>
          <w:rFonts w:ascii="Tw Cen MT" w:hAnsi="Tw Cen MT"/>
        </w:rPr>
        <w:t xml:space="preserve"> </w:t>
      </w:r>
      <w:r w:rsidRPr="0072661F">
        <w:rPr>
          <w:rFonts w:ascii="Tw Cen MT" w:hAnsi="Tw Cen MT"/>
        </w:rPr>
        <w:t>% till 4</w:t>
      </w:r>
      <w:r>
        <w:rPr>
          <w:rFonts w:ascii="Tw Cen MT" w:hAnsi="Tw Cen MT"/>
        </w:rPr>
        <w:t xml:space="preserve"> </w:t>
      </w:r>
      <w:r w:rsidRPr="0072661F">
        <w:rPr>
          <w:rFonts w:ascii="Tw Cen MT" w:hAnsi="Tw Cen MT"/>
        </w:rPr>
        <w:t>%</w:t>
      </w:r>
      <w:r>
        <w:rPr>
          <w:rFonts w:ascii="Tw Cen MT" w:hAnsi="Tw Cen MT"/>
        </w:rPr>
        <w:t xml:space="preserve"> för motsvarande år</w:t>
      </w:r>
      <w:r w:rsidRPr="0072661F">
        <w:rPr>
          <w:rFonts w:ascii="Tw Cen MT" w:hAnsi="Tw Cen MT"/>
        </w:rPr>
        <w:t>.</w:t>
      </w:r>
    </w:p>
    <w:p w:rsidR="00BE7DEE" w:rsidRDefault="00BE7DEE" w:rsidP="00BE7DEE">
      <w:pPr>
        <w:rPr>
          <w:rFonts w:ascii="Tw Cen MT" w:hAnsi="Tw Cen MT"/>
        </w:rPr>
      </w:pPr>
      <w:r>
        <w:rPr>
          <w:rFonts w:ascii="Tw Cen MT" w:hAnsi="Tw Cen MT"/>
        </w:rPr>
        <w:t>Sammantaget kan alltså konstateras att förändringarna avseende stomtypers marknadsandelar i flerbostadshus varit små under senare delen av 2000-talet.</w:t>
      </w:r>
    </w:p>
    <w:p w:rsidR="00BE7DEE" w:rsidRDefault="00BE7DEE" w:rsidP="00C7291B">
      <w:pPr>
        <w:rPr>
          <w:rFonts w:ascii="Tw Cen MT" w:hAnsi="Tw Cen MT"/>
        </w:rPr>
      </w:pPr>
    </w:p>
    <w:p w:rsidR="00D43235" w:rsidRPr="006463D9" w:rsidRDefault="00BE7DEE" w:rsidP="006463D9">
      <w:pPr>
        <w:pStyle w:val="Rubrik2"/>
        <w:spacing w:before="240" w:after="120"/>
        <w:rPr>
          <w:rFonts w:asciiTheme="minorHAnsi" w:hAnsiTheme="minorHAnsi"/>
        </w:rPr>
      </w:pPr>
      <w:r>
        <w:rPr>
          <w:rFonts w:asciiTheme="minorHAnsi" w:hAnsiTheme="minorHAnsi"/>
        </w:rPr>
        <w:t>Så här gjordes LTH:s totalundersökningar 2005 och 2012</w:t>
      </w:r>
      <w:r w:rsidR="006839E5" w:rsidRPr="006463D9">
        <w:rPr>
          <w:rFonts w:asciiTheme="minorHAnsi" w:hAnsiTheme="minorHAnsi"/>
        </w:rPr>
        <w:t xml:space="preserve">  </w:t>
      </w:r>
    </w:p>
    <w:p w:rsidR="001C602D" w:rsidRPr="006713F3" w:rsidRDefault="00455011" w:rsidP="000E6966">
      <w:pPr>
        <w:rPr>
          <w:rFonts w:ascii="Tw Cen MT" w:hAnsi="Tw Cen MT"/>
        </w:rPr>
      </w:pPr>
      <w:r>
        <w:rPr>
          <w:rFonts w:ascii="Tw Cen MT" w:hAnsi="Tw Cen MT"/>
        </w:rPr>
        <w:t>U</w:t>
      </w:r>
      <w:r w:rsidR="006839E5" w:rsidRPr="00812F4C">
        <w:rPr>
          <w:rFonts w:ascii="Tw Cen MT" w:hAnsi="Tw Cen MT"/>
        </w:rPr>
        <w:t>ndersökningar</w:t>
      </w:r>
      <w:r w:rsidR="00116BA9">
        <w:rPr>
          <w:rFonts w:ascii="Tw Cen MT" w:hAnsi="Tw Cen MT"/>
        </w:rPr>
        <w:t>na</w:t>
      </w:r>
      <w:r>
        <w:rPr>
          <w:rFonts w:ascii="Tw Cen MT" w:hAnsi="Tw Cen MT"/>
        </w:rPr>
        <w:t xml:space="preserve"> avseende åren 2005 respektive 2012</w:t>
      </w:r>
      <w:r w:rsidR="006839E5" w:rsidRPr="00812F4C">
        <w:rPr>
          <w:rFonts w:ascii="Tw Cen MT" w:hAnsi="Tw Cen MT"/>
        </w:rPr>
        <w:t xml:space="preserve"> har genomförts på ett likartat sätt. Arbetet inleddes med att sammanställa en lista över påbörjade flerbostadshusprojekt för </w:t>
      </w:r>
      <w:r w:rsidR="00715BAD">
        <w:rPr>
          <w:rFonts w:ascii="Tw Cen MT" w:hAnsi="Tw Cen MT"/>
        </w:rPr>
        <w:t xml:space="preserve">den mätperiod </w:t>
      </w:r>
      <w:r w:rsidR="006839E5" w:rsidRPr="00812F4C">
        <w:rPr>
          <w:rFonts w:ascii="Tw Cen MT" w:hAnsi="Tw Cen MT"/>
        </w:rPr>
        <w:t>som undersökningen omfattade. Uppgifterna togs fram i samarbete med en kommersiell aktör för projektbevakning</w:t>
      </w:r>
      <w:r w:rsidR="006839E5" w:rsidRPr="006839E5">
        <w:rPr>
          <w:rFonts w:ascii="Tw Cen MT" w:hAnsi="Tw Cen MT"/>
        </w:rPr>
        <w:t xml:space="preserve"> och </w:t>
      </w:r>
      <w:r w:rsidR="006839E5">
        <w:rPr>
          <w:rFonts w:ascii="Tw Cen MT" w:hAnsi="Tw Cen MT"/>
        </w:rPr>
        <w:t xml:space="preserve">innehöll </w:t>
      </w:r>
      <w:r w:rsidR="00715BAD">
        <w:rPr>
          <w:rFonts w:ascii="Tw Cen MT" w:hAnsi="Tw Cen MT"/>
        </w:rPr>
        <w:t>ett antal p</w:t>
      </w:r>
      <w:r w:rsidR="006839E5">
        <w:rPr>
          <w:rFonts w:ascii="Tw Cen MT" w:hAnsi="Tw Cen MT"/>
        </w:rPr>
        <w:t>rojektspecifika uppgifter</w:t>
      </w:r>
      <w:r w:rsidR="006802D0">
        <w:rPr>
          <w:rFonts w:ascii="Tw Cen MT" w:hAnsi="Tw Cen MT"/>
        </w:rPr>
        <w:t xml:space="preserve"> [</w:t>
      </w:r>
      <w:r w:rsidR="008D7045">
        <w:rPr>
          <w:rFonts w:ascii="Tw Cen MT" w:hAnsi="Tw Cen MT"/>
        </w:rPr>
        <w:t>8</w:t>
      </w:r>
      <w:r w:rsidR="006802D0">
        <w:rPr>
          <w:rFonts w:ascii="Tw Cen MT" w:hAnsi="Tw Cen MT"/>
        </w:rPr>
        <w:t>]</w:t>
      </w:r>
      <w:r w:rsidR="006839E5">
        <w:rPr>
          <w:rFonts w:ascii="Tw Cen MT" w:hAnsi="Tw Cen MT"/>
        </w:rPr>
        <w:t xml:space="preserve">. För att verifiera dessa uppgifter </w:t>
      </w:r>
      <w:r w:rsidR="000E6966">
        <w:rPr>
          <w:rFonts w:ascii="Tw Cen MT" w:hAnsi="Tw Cen MT"/>
        </w:rPr>
        <w:t xml:space="preserve">intervjuades </w:t>
      </w:r>
      <w:r w:rsidR="007757B3">
        <w:rPr>
          <w:rFonts w:ascii="Tw Cen MT" w:hAnsi="Tw Cen MT"/>
        </w:rPr>
        <w:t xml:space="preserve">byggherren i varje projekt. </w:t>
      </w:r>
      <w:r w:rsidR="006839E5">
        <w:rPr>
          <w:rFonts w:ascii="Tw Cen MT" w:hAnsi="Tw Cen MT"/>
        </w:rPr>
        <w:t>U</w:t>
      </w:r>
      <w:r w:rsidR="007757B3">
        <w:rPr>
          <w:rFonts w:ascii="Tw Cen MT" w:hAnsi="Tw Cen MT"/>
        </w:rPr>
        <w:t>ppgifter som kontrollerades var bl.a. projektnamn, typ av objekt (flerbostadshus</w:t>
      </w:r>
      <w:r w:rsidR="00E74A4E">
        <w:rPr>
          <w:rStyle w:val="Fotnotsreferens"/>
          <w:rFonts w:ascii="Tw Cen MT" w:hAnsi="Tw Cen MT"/>
        </w:rPr>
        <w:footnoteReference w:id="1"/>
      </w:r>
      <w:r w:rsidR="007757B3">
        <w:rPr>
          <w:rFonts w:ascii="Tw Cen MT" w:hAnsi="Tw Cen MT"/>
        </w:rPr>
        <w:t>), geografiskt läge, tidpunkt för byggstart, antal lägenheter, antal våninga</w:t>
      </w:r>
      <w:r w:rsidR="007757B3" w:rsidRPr="006713F3">
        <w:rPr>
          <w:rFonts w:ascii="Tw Cen MT" w:hAnsi="Tw Cen MT"/>
        </w:rPr>
        <w:t>r</w:t>
      </w:r>
      <w:r w:rsidR="00A0074A" w:rsidRPr="006713F3">
        <w:rPr>
          <w:rFonts w:ascii="Tw Cen MT" w:hAnsi="Tw Cen MT"/>
        </w:rPr>
        <w:t xml:space="preserve">, </w:t>
      </w:r>
      <w:r w:rsidR="007757B3" w:rsidRPr="006713F3">
        <w:rPr>
          <w:rFonts w:ascii="Tw Cen MT" w:hAnsi="Tw Cen MT"/>
        </w:rPr>
        <w:t>vilken stomtyp som använ</w:t>
      </w:r>
      <w:r w:rsidR="00A0074A" w:rsidRPr="006713F3">
        <w:rPr>
          <w:rFonts w:ascii="Tw Cen MT" w:hAnsi="Tw Cen MT"/>
        </w:rPr>
        <w:t>t</w:t>
      </w:r>
      <w:r w:rsidR="007757B3" w:rsidRPr="006713F3">
        <w:rPr>
          <w:rFonts w:ascii="Tw Cen MT" w:hAnsi="Tw Cen MT"/>
        </w:rPr>
        <w:t>s</w:t>
      </w:r>
      <w:r w:rsidR="001828E3">
        <w:rPr>
          <w:rFonts w:ascii="Tw Cen MT" w:hAnsi="Tw Cen MT"/>
        </w:rPr>
        <w:t xml:space="preserve"> samt 2012 även faktisk leverantör av stommen</w:t>
      </w:r>
      <w:r w:rsidR="007757B3" w:rsidRPr="006713F3">
        <w:rPr>
          <w:rFonts w:ascii="Tw Cen MT" w:hAnsi="Tw Cen MT"/>
        </w:rPr>
        <w:t xml:space="preserve">. </w:t>
      </w:r>
    </w:p>
    <w:p w:rsidR="001C602D" w:rsidRPr="007757B3" w:rsidRDefault="001C602D" w:rsidP="001C602D">
      <w:pPr>
        <w:rPr>
          <w:rFonts w:ascii="Tw Cen MT" w:hAnsi="Tw Cen MT"/>
        </w:rPr>
      </w:pPr>
      <w:r w:rsidRPr="006713F3">
        <w:rPr>
          <w:rFonts w:ascii="Tw Cen MT" w:hAnsi="Tw Cen MT"/>
        </w:rPr>
        <w:t>Stomtyp klassificerades som</w:t>
      </w:r>
      <w:r w:rsidR="00A0074A" w:rsidRPr="006713F3">
        <w:rPr>
          <w:rFonts w:ascii="Tw Cen MT" w:hAnsi="Tw Cen MT"/>
        </w:rPr>
        <w:t xml:space="preserve"> antingen</w:t>
      </w:r>
      <w:r w:rsidRPr="006713F3">
        <w:rPr>
          <w:rFonts w:ascii="Tw Cen MT" w:hAnsi="Tw Cen MT"/>
        </w:rPr>
        <w:t xml:space="preserve"> tung eller lätt. </w:t>
      </w:r>
      <w:r w:rsidR="006713F3" w:rsidRPr="006713F3">
        <w:rPr>
          <w:rFonts w:ascii="Tw Cen MT" w:hAnsi="Tw Cen MT"/>
        </w:rPr>
        <w:t>Med tung stomme avses att betong är det huvudsakliga materialet både i bärande vertikala byggdelar och i mellanbjälklag. Med lätt stomme avses att stål alternativt trä utgör det huvudsakliga materialet i både vertikala byggdelar och mellanbjälklag.</w:t>
      </w:r>
      <w:r w:rsidRPr="006713F3">
        <w:rPr>
          <w:rFonts w:ascii="Tw Cen MT" w:hAnsi="Tw Cen MT"/>
        </w:rPr>
        <w:t xml:space="preserve"> En stomme som klassats som tung kan </w:t>
      </w:r>
      <w:r w:rsidR="00E82236" w:rsidRPr="006713F3">
        <w:rPr>
          <w:rFonts w:ascii="Tw Cen MT" w:hAnsi="Tw Cen MT"/>
        </w:rPr>
        <w:t xml:space="preserve">alltså </w:t>
      </w:r>
      <w:r w:rsidRPr="006713F3">
        <w:rPr>
          <w:rFonts w:ascii="Tw Cen MT" w:hAnsi="Tw Cen MT"/>
        </w:rPr>
        <w:t xml:space="preserve">innehålla bärande element av andra material </w:t>
      </w:r>
      <w:r>
        <w:rPr>
          <w:rFonts w:ascii="Tw Cen MT" w:hAnsi="Tw Cen MT"/>
        </w:rPr>
        <w:t xml:space="preserve">än betong, t.ex. stålpelare. </w:t>
      </w:r>
      <w:r w:rsidRPr="007757B3">
        <w:rPr>
          <w:rFonts w:ascii="Tw Cen MT" w:hAnsi="Tw Cen MT"/>
        </w:rPr>
        <w:t xml:space="preserve">Denna förenkling användes </w:t>
      </w:r>
      <w:r>
        <w:rPr>
          <w:rFonts w:ascii="Tw Cen MT" w:hAnsi="Tw Cen MT"/>
        </w:rPr>
        <w:t xml:space="preserve">av praktiska skäl för </w:t>
      </w:r>
      <w:r w:rsidRPr="007757B3">
        <w:rPr>
          <w:rFonts w:ascii="Tw Cen MT" w:hAnsi="Tw Cen MT"/>
        </w:rPr>
        <w:t xml:space="preserve">att göra både </w:t>
      </w:r>
      <w:r>
        <w:rPr>
          <w:rFonts w:ascii="Tw Cen MT" w:hAnsi="Tw Cen MT"/>
        </w:rPr>
        <w:t>intervjuer</w:t>
      </w:r>
      <w:r w:rsidRPr="007757B3">
        <w:rPr>
          <w:rFonts w:ascii="Tw Cen MT" w:hAnsi="Tw Cen MT"/>
        </w:rPr>
        <w:t xml:space="preserve"> och efterföljande analys hanterlig. Beräkning av stomtypers andelar är gjord per hus, d.v.s. hänsyn har tagits till att ett </w:t>
      </w:r>
      <w:r w:rsidR="001828E3">
        <w:rPr>
          <w:rFonts w:ascii="Tw Cen MT" w:hAnsi="Tw Cen MT"/>
        </w:rPr>
        <w:t>bygg</w:t>
      </w:r>
      <w:r w:rsidRPr="007757B3">
        <w:rPr>
          <w:rFonts w:ascii="Tw Cen MT" w:hAnsi="Tw Cen MT"/>
        </w:rPr>
        <w:t>projekt kan bestå av flera hus med olika stomtyper.</w:t>
      </w:r>
    </w:p>
    <w:p w:rsidR="007757B3" w:rsidRPr="00F20E89" w:rsidRDefault="007757B3" w:rsidP="000E6966">
      <w:pPr>
        <w:rPr>
          <w:rFonts w:ascii="Tw Cen MT" w:hAnsi="Tw Cen MT"/>
        </w:rPr>
      </w:pPr>
      <w:r w:rsidRPr="000E6966">
        <w:rPr>
          <w:rFonts w:ascii="Tw Cen MT" w:hAnsi="Tw Cen MT"/>
        </w:rPr>
        <w:lastRenderedPageBreak/>
        <w:t xml:space="preserve">Undersökningen </w:t>
      </w:r>
      <w:r w:rsidR="00E82236">
        <w:rPr>
          <w:rFonts w:ascii="Tw Cen MT" w:hAnsi="Tw Cen MT"/>
        </w:rPr>
        <w:t xml:space="preserve">genomfördes via </w:t>
      </w:r>
      <w:r w:rsidR="006839E5">
        <w:rPr>
          <w:rFonts w:ascii="Tw Cen MT" w:hAnsi="Tw Cen MT"/>
        </w:rPr>
        <w:t xml:space="preserve">telefonintervjuer </w:t>
      </w:r>
      <w:r w:rsidR="00E82236">
        <w:rPr>
          <w:rFonts w:ascii="Tw Cen MT" w:hAnsi="Tw Cen MT"/>
        </w:rPr>
        <w:t>utförda</w:t>
      </w:r>
      <w:r w:rsidR="007437E5">
        <w:rPr>
          <w:rFonts w:ascii="Tw Cen MT" w:hAnsi="Tw Cen MT"/>
        </w:rPr>
        <w:t xml:space="preserve"> av</w:t>
      </w:r>
      <w:r w:rsidR="00E82236">
        <w:rPr>
          <w:rFonts w:ascii="Tw Cen MT" w:hAnsi="Tw Cen MT"/>
        </w:rPr>
        <w:t xml:space="preserve"> </w:t>
      </w:r>
      <w:r w:rsidRPr="000E6966">
        <w:rPr>
          <w:rFonts w:ascii="Tw Cen MT" w:hAnsi="Tw Cen MT"/>
        </w:rPr>
        <w:t>Gfk Sverige som är specialiserad på denna typ av undersökningsmetod</w:t>
      </w:r>
      <w:r w:rsidR="00715BAD">
        <w:rPr>
          <w:rFonts w:ascii="Tw Cen MT" w:hAnsi="Tw Cen MT"/>
        </w:rPr>
        <w:t>er</w:t>
      </w:r>
      <w:r w:rsidRPr="000E6966">
        <w:rPr>
          <w:rFonts w:ascii="Tw Cen MT" w:hAnsi="Tw Cen MT"/>
        </w:rPr>
        <w:t xml:space="preserve">. För att minimera felkällor kopplat till själva metoden, användes en mall med fördefinierade frågor, och för vissa frågor, även fördefinierade svarsalternativ.  De som utförde intervjuerna </w:t>
      </w:r>
      <w:r w:rsidR="00715BAD">
        <w:rPr>
          <w:rFonts w:ascii="Tw Cen MT" w:hAnsi="Tw Cen MT"/>
        </w:rPr>
        <w:t xml:space="preserve">blev först utbildade i frågeställningarna och </w:t>
      </w:r>
      <w:r w:rsidRPr="000E6966">
        <w:rPr>
          <w:rFonts w:ascii="Tw Cen MT" w:hAnsi="Tw Cen MT"/>
        </w:rPr>
        <w:t xml:space="preserve">hade </w:t>
      </w:r>
      <w:r w:rsidR="00715BAD">
        <w:rPr>
          <w:rFonts w:ascii="Tw Cen MT" w:hAnsi="Tw Cen MT"/>
        </w:rPr>
        <w:t xml:space="preserve">under intervjuerna dessutom </w:t>
      </w:r>
      <w:r w:rsidRPr="000E6966">
        <w:rPr>
          <w:rFonts w:ascii="Tw Cen MT" w:hAnsi="Tw Cen MT"/>
        </w:rPr>
        <w:t xml:space="preserve">tillgång till förklaringstexter </w:t>
      </w:r>
      <w:r w:rsidR="00715BAD">
        <w:rPr>
          <w:rFonts w:ascii="Tw Cen MT" w:hAnsi="Tw Cen MT"/>
        </w:rPr>
        <w:t>som stöd utifall o</w:t>
      </w:r>
      <w:r w:rsidRPr="00F20E89">
        <w:rPr>
          <w:rFonts w:ascii="Tw Cen MT" w:hAnsi="Tw Cen MT"/>
        </w:rPr>
        <w:t>klarheter kring fråg</w:t>
      </w:r>
      <w:r w:rsidR="00715BAD">
        <w:rPr>
          <w:rFonts w:ascii="Tw Cen MT" w:hAnsi="Tw Cen MT"/>
        </w:rPr>
        <w:t>orna skulle</w:t>
      </w:r>
      <w:r w:rsidRPr="00F20E89">
        <w:rPr>
          <w:rFonts w:ascii="Tw Cen MT" w:hAnsi="Tw Cen MT"/>
        </w:rPr>
        <w:t xml:space="preserve"> uppst</w:t>
      </w:r>
      <w:r w:rsidR="00715BAD">
        <w:rPr>
          <w:rFonts w:ascii="Tw Cen MT" w:hAnsi="Tw Cen MT"/>
        </w:rPr>
        <w:t>å</w:t>
      </w:r>
      <w:r w:rsidRPr="00F20E89">
        <w:rPr>
          <w:rFonts w:ascii="Tw Cen MT" w:hAnsi="Tw Cen MT"/>
        </w:rPr>
        <w:t xml:space="preserve">. </w:t>
      </w:r>
    </w:p>
    <w:p w:rsidR="007757B3" w:rsidRDefault="007757B3" w:rsidP="007757B3">
      <w:pPr>
        <w:rPr>
          <w:rFonts w:ascii="Tw Cen MT" w:hAnsi="Tw Cen MT"/>
        </w:rPr>
      </w:pPr>
      <w:r w:rsidRPr="007757B3">
        <w:rPr>
          <w:rFonts w:ascii="Tw Cen MT" w:hAnsi="Tw Cen MT"/>
        </w:rPr>
        <w:t xml:space="preserve">Telefonintervjuerna genomfördes cirka tre till sex månader efter den aktuella mätperiodens slut. Detta innebar att vissa projekt fortfarande var pågående medan andra hade hunnit avslutats då intervjuerna </w:t>
      </w:r>
      <w:r w:rsidR="00E02D41">
        <w:rPr>
          <w:rFonts w:ascii="Tw Cen MT" w:hAnsi="Tw Cen MT"/>
        </w:rPr>
        <w:t>genomfördes</w:t>
      </w:r>
      <w:r w:rsidRPr="007757B3">
        <w:rPr>
          <w:rFonts w:ascii="Tw Cen MT" w:hAnsi="Tw Cen MT"/>
        </w:rPr>
        <w:t>. Samtliga intervjuer dokumenterades i e</w:t>
      </w:r>
      <w:r w:rsidR="00A035E3">
        <w:rPr>
          <w:rFonts w:ascii="Tw Cen MT" w:hAnsi="Tw Cen MT"/>
        </w:rPr>
        <w:t xml:space="preserve">n </w:t>
      </w:r>
      <w:r w:rsidRPr="007757B3">
        <w:rPr>
          <w:rFonts w:ascii="Tw Cen MT" w:hAnsi="Tw Cen MT"/>
        </w:rPr>
        <w:t>Excel</w:t>
      </w:r>
      <w:r w:rsidR="00A035E3">
        <w:rPr>
          <w:rFonts w:ascii="Tw Cen MT" w:hAnsi="Tw Cen MT"/>
        </w:rPr>
        <w:t>fil</w:t>
      </w:r>
      <w:r w:rsidR="00887806">
        <w:rPr>
          <w:rFonts w:ascii="Tw Cen MT" w:hAnsi="Tw Cen MT"/>
        </w:rPr>
        <w:t xml:space="preserve"> där sedan alla projekt </w:t>
      </w:r>
      <w:r w:rsidRPr="007757B3">
        <w:rPr>
          <w:rFonts w:ascii="Tw Cen MT" w:hAnsi="Tw Cen MT"/>
        </w:rPr>
        <w:t>databehandl</w:t>
      </w:r>
      <w:r w:rsidR="00887806">
        <w:rPr>
          <w:rFonts w:ascii="Tw Cen MT" w:hAnsi="Tw Cen MT"/>
        </w:rPr>
        <w:t xml:space="preserve">ades </w:t>
      </w:r>
      <w:r w:rsidRPr="007757B3">
        <w:rPr>
          <w:rFonts w:ascii="Tw Cen MT" w:hAnsi="Tw Cen MT"/>
        </w:rPr>
        <w:t xml:space="preserve">för att kontrollera och analysera </w:t>
      </w:r>
      <w:r w:rsidR="00B444D2">
        <w:rPr>
          <w:rFonts w:ascii="Tw Cen MT" w:hAnsi="Tw Cen MT"/>
        </w:rPr>
        <w:t xml:space="preserve">samtliga </w:t>
      </w:r>
      <w:r w:rsidRPr="007757B3">
        <w:rPr>
          <w:rFonts w:ascii="Tw Cen MT" w:hAnsi="Tw Cen MT"/>
        </w:rPr>
        <w:t xml:space="preserve">uppgifter. De projekt som visade sig ligga utanför urvalsramen </w:t>
      </w:r>
      <w:r w:rsidR="00715BAD">
        <w:rPr>
          <w:rFonts w:ascii="Tw Cen MT" w:hAnsi="Tw Cen MT"/>
        </w:rPr>
        <w:t xml:space="preserve">eller </w:t>
      </w:r>
      <w:r w:rsidRPr="007757B3">
        <w:rPr>
          <w:rFonts w:ascii="Tw Cen MT" w:hAnsi="Tw Cen MT"/>
        </w:rPr>
        <w:t>där det inte var</w:t>
      </w:r>
      <w:r w:rsidR="00715BAD">
        <w:rPr>
          <w:rFonts w:ascii="Tw Cen MT" w:hAnsi="Tw Cen MT"/>
        </w:rPr>
        <w:t xml:space="preserve"> </w:t>
      </w:r>
      <w:r w:rsidRPr="007757B3">
        <w:rPr>
          <w:rFonts w:ascii="Tw Cen MT" w:hAnsi="Tw Cen MT"/>
        </w:rPr>
        <w:t>möjligt att få fram eller verifiera grundläggande uppgifter</w:t>
      </w:r>
      <w:r w:rsidR="00715BAD" w:rsidRPr="00715BAD">
        <w:rPr>
          <w:rFonts w:ascii="Tw Cen MT" w:hAnsi="Tw Cen MT"/>
        </w:rPr>
        <w:t xml:space="preserve"> </w:t>
      </w:r>
      <w:r w:rsidR="00715BAD" w:rsidRPr="007757B3">
        <w:rPr>
          <w:rFonts w:ascii="Tw Cen MT" w:hAnsi="Tw Cen MT"/>
        </w:rPr>
        <w:t>plockades bort</w:t>
      </w:r>
      <w:r w:rsidR="001C602D">
        <w:rPr>
          <w:rFonts w:ascii="Tw Cen MT" w:hAnsi="Tw Cen MT"/>
        </w:rPr>
        <w:t>.</w:t>
      </w:r>
      <w:r w:rsidR="00715BAD">
        <w:rPr>
          <w:rFonts w:ascii="Tw Cen MT" w:hAnsi="Tw Cen MT"/>
        </w:rPr>
        <w:t xml:space="preserve"> </w:t>
      </w:r>
      <w:r w:rsidR="001C602D">
        <w:rPr>
          <w:rFonts w:ascii="Tw Cen MT" w:hAnsi="Tw Cen MT"/>
        </w:rPr>
        <w:t xml:space="preserve"> Undersökningen </w:t>
      </w:r>
      <w:r w:rsidR="00A946C1">
        <w:rPr>
          <w:rFonts w:ascii="Tw Cen MT" w:hAnsi="Tw Cen MT"/>
        </w:rPr>
        <w:t>som avser</w:t>
      </w:r>
      <w:r w:rsidR="001C602D">
        <w:rPr>
          <w:rFonts w:ascii="Tw Cen MT" w:hAnsi="Tw Cen MT"/>
        </w:rPr>
        <w:t xml:space="preserve"> år 2005 </w:t>
      </w:r>
      <w:r w:rsidR="00A946C1">
        <w:rPr>
          <w:rFonts w:ascii="Tw Cen MT" w:hAnsi="Tw Cen MT"/>
        </w:rPr>
        <w:t xml:space="preserve">respektive </w:t>
      </w:r>
      <w:r w:rsidR="001C602D">
        <w:rPr>
          <w:rFonts w:ascii="Tw Cen MT" w:hAnsi="Tw Cen MT"/>
        </w:rPr>
        <w:t>2012 var totalundersökningar, d</w:t>
      </w:r>
      <w:r w:rsidR="006802D0">
        <w:rPr>
          <w:rFonts w:ascii="Tw Cen MT" w:hAnsi="Tw Cen MT"/>
        </w:rPr>
        <w:t>.</w:t>
      </w:r>
      <w:r w:rsidR="001C602D">
        <w:rPr>
          <w:rFonts w:ascii="Tw Cen MT" w:hAnsi="Tw Cen MT"/>
        </w:rPr>
        <w:t>v</w:t>
      </w:r>
      <w:r w:rsidR="006802D0">
        <w:rPr>
          <w:rFonts w:ascii="Tw Cen MT" w:hAnsi="Tw Cen MT"/>
        </w:rPr>
        <w:t>.</w:t>
      </w:r>
      <w:r w:rsidR="001C602D">
        <w:rPr>
          <w:rFonts w:ascii="Tw Cen MT" w:hAnsi="Tw Cen MT"/>
        </w:rPr>
        <w:t>s</w:t>
      </w:r>
      <w:r w:rsidR="006802D0">
        <w:rPr>
          <w:rFonts w:ascii="Tw Cen MT" w:hAnsi="Tw Cen MT"/>
        </w:rPr>
        <w:t>.</w:t>
      </w:r>
      <w:r w:rsidR="001C602D">
        <w:rPr>
          <w:rFonts w:ascii="Tw Cen MT" w:hAnsi="Tw Cen MT"/>
        </w:rPr>
        <w:t xml:space="preserve"> samtliga projekt omfattades. </w:t>
      </w:r>
      <w:r w:rsidR="00A946C1">
        <w:rPr>
          <w:rFonts w:ascii="Tw Cen MT" w:hAnsi="Tw Cen MT"/>
        </w:rPr>
        <w:t>Bortfallet i båda dessa</w:t>
      </w:r>
      <w:r w:rsidR="0050109C">
        <w:rPr>
          <w:rFonts w:ascii="Tw Cen MT" w:hAnsi="Tw Cen MT"/>
        </w:rPr>
        <w:t xml:space="preserve"> undersökningar</w:t>
      </w:r>
      <w:r w:rsidR="00A946C1">
        <w:rPr>
          <w:rFonts w:ascii="Tw Cen MT" w:hAnsi="Tw Cen MT"/>
        </w:rPr>
        <w:t xml:space="preserve"> var dessutom lite</w:t>
      </w:r>
      <w:r w:rsidR="0050109C">
        <w:rPr>
          <w:rFonts w:ascii="Tw Cen MT" w:hAnsi="Tw Cen MT"/>
        </w:rPr>
        <w:t>t</w:t>
      </w:r>
      <w:r w:rsidR="00A946C1">
        <w:rPr>
          <w:rFonts w:ascii="Tw Cen MT" w:hAnsi="Tw Cen MT"/>
        </w:rPr>
        <w:t>, mindre än 7</w:t>
      </w:r>
      <w:r w:rsidR="001828E3">
        <w:rPr>
          <w:rFonts w:ascii="Tw Cen MT" w:hAnsi="Tw Cen MT"/>
        </w:rPr>
        <w:t xml:space="preserve"> </w:t>
      </w:r>
      <w:r w:rsidR="00A946C1">
        <w:rPr>
          <w:rFonts w:ascii="Tw Cen MT" w:hAnsi="Tw Cen MT"/>
        </w:rPr>
        <w:t xml:space="preserve">%. </w:t>
      </w:r>
    </w:p>
    <w:p w:rsidR="00441AF0" w:rsidRPr="006463D9" w:rsidRDefault="00CA7DB5" w:rsidP="00441AF0">
      <w:pPr>
        <w:pStyle w:val="Rubrik2"/>
        <w:spacing w:before="240" w:after="120"/>
        <w:rPr>
          <w:rFonts w:asciiTheme="minorHAnsi" w:hAnsiTheme="minorHAnsi"/>
        </w:rPr>
      </w:pPr>
      <w:r>
        <w:rPr>
          <w:rFonts w:asciiTheme="minorHAnsi" w:hAnsiTheme="minorHAnsi"/>
        </w:rPr>
        <w:t xml:space="preserve">Stomtypers andel utifrån tillgänglig </w:t>
      </w:r>
      <w:r w:rsidR="00441AF0">
        <w:rPr>
          <w:rFonts w:asciiTheme="minorHAnsi" w:hAnsiTheme="minorHAnsi"/>
        </w:rPr>
        <w:t>SCB-statistik</w:t>
      </w:r>
      <w:r w:rsidR="00441AF0" w:rsidRPr="006463D9">
        <w:rPr>
          <w:rFonts w:asciiTheme="minorHAnsi" w:hAnsiTheme="minorHAnsi"/>
        </w:rPr>
        <w:t xml:space="preserve">  </w:t>
      </w:r>
    </w:p>
    <w:p w:rsidR="00C6616A" w:rsidRDefault="00A149CD" w:rsidP="00090915">
      <w:pPr>
        <w:rPr>
          <w:rFonts w:ascii="Tw Cen MT" w:hAnsi="Tw Cen MT"/>
        </w:rPr>
      </w:pPr>
      <w:r>
        <w:rPr>
          <w:rFonts w:ascii="Tw Cen MT" w:hAnsi="Tw Cen MT"/>
        </w:rPr>
        <w:t xml:space="preserve">Uppgifter om ingående stomtyper i flerbostadshus kan </w:t>
      </w:r>
      <w:r w:rsidR="00616479">
        <w:rPr>
          <w:rFonts w:ascii="Tw Cen MT" w:hAnsi="Tw Cen MT"/>
        </w:rPr>
        <w:t xml:space="preserve">också </w:t>
      </w:r>
      <w:r>
        <w:rPr>
          <w:rFonts w:ascii="Tw Cen MT" w:hAnsi="Tw Cen MT"/>
        </w:rPr>
        <w:t xml:space="preserve">fås genom </w:t>
      </w:r>
      <w:r w:rsidR="00CA7DB5">
        <w:rPr>
          <w:rFonts w:ascii="Tw Cen MT" w:hAnsi="Tw Cen MT"/>
        </w:rPr>
        <w:t>SCB</w:t>
      </w:r>
      <w:r>
        <w:rPr>
          <w:rFonts w:ascii="Tw Cen MT" w:hAnsi="Tw Cen MT"/>
        </w:rPr>
        <w:t xml:space="preserve">:s </w:t>
      </w:r>
      <w:r w:rsidR="00CA7DB5">
        <w:rPr>
          <w:rFonts w:ascii="Tw Cen MT" w:hAnsi="Tw Cen MT"/>
        </w:rPr>
        <w:t>statistik för</w:t>
      </w:r>
      <w:r>
        <w:rPr>
          <w:rFonts w:ascii="Tw Cen MT" w:hAnsi="Tw Cen MT"/>
        </w:rPr>
        <w:t xml:space="preserve"> nybyggnadskos</w:t>
      </w:r>
      <w:r w:rsidR="0020277A">
        <w:rPr>
          <w:rFonts w:ascii="Tw Cen MT" w:hAnsi="Tw Cen MT"/>
        </w:rPr>
        <w:t xml:space="preserve">tnader. Statistiken har en snävare population än de som ligger till grund för LTH-undersökningarna, se tabell 1. </w:t>
      </w:r>
      <w:r w:rsidR="00CA7DB5">
        <w:rPr>
          <w:rFonts w:ascii="Tw Cen MT" w:hAnsi="Tw Cen MT"/>
        </w:rPr>
        <w:t>Inhämtning, b</w:t>
      </w:r>
      <w:r w:rsidR="00C6616A">
        <w:rPr>
          <w:rFonts w:ascii="Tw Cen MT" w:hAnsi="Tw Cen MT"/>
        </w:rPr>
        <w:t>earbetning och tolkning av data har diskuterats ihop med ansvariga för statistiken hos SCB. Denna statistik är för</w:t>
      </w:r>
      <w:r w:rsidR="00CA7DB5">
        <w:rPr>
          <w:rFonts w:ascii="Tw Cen MT" w:hAnsi="Tw Cen MT"/>
        </w:rPr>
        <w:t xml:space="preserve"> </w:t>
      </w:r>
      <w:r w:rsidR="00C6616A">
        <w:rPr>
          <w:rFonts w:ascii="Tw Cen MT" w:hAnsi="Tw Cen MT"/>
        </w:rPr>
        <w:t>övrigt den enda statistik från SCB där det är möjligt att få fram uppgifter om ingående stomtyper.</w:t>
      </w:r>
      <w:r>
        <w:rPr>
          <w:rFonts w:ascii="Tw Cen MT" w:hAnsi="Tw Cen MT"/>
        </w:rPr>
        <w:t xml:space="preserve"> Den statistik som använts omfattar perioden 2000-2012. </w:t>
      </w:r>
    </w:p>
    <w:p w:rsidR="007437E5" w:rsidRDefault="007437E5" w:rsidP="00090915">
      <w:pPr>
        <w:rPr>
          <w:rFonts w:ascii="Tw Cen MT" w:hAnsi="Tw Cen MT"/>
        </w:rPr>
      </w:pPr>
    </w:p>
    <w:p w:rsidR="0058010B" w:rsidRPr="0061066B" w:rsidRDefault="0058010B" w:rsidP="0058010B">
      <w:pPr>
        <w:rPr>
          <w:rFonts w:ascii="Tw Cen MT" w:hAnsi="Tw Cen MT"/>
          <w:b/>
          <w:sz w:val="18"/>
          <w:szCs w:val="18"/>
        </w:rPr>
      </w:pPr>
      <w:r w:rsidRPr="0061066B">
        <w:rPr>
          <w:rFonts w:ascii="Tw Cen MT" w:hAnsi="Tw Cen MT"/>
          <w:sz w:val="18"/>
          <w:szCs w:val="18"/>
        </w:rPr>
        <w:t xml:space="preserve"> </w:t>
      </w:r>
      <w:r w:rsidRPr="0061066B">
        <w:rPr>
          <w:rFonts w:ascii="Tw Cen MT" w:hAnsi="Tw Cen MT"/>
          <w:b/>
          <w:sz w:val="18"/>
          <w:szCs w:val="18"/>
        </w:rPr>
        <w:t xml:space="preserve">Tabell 1. </w:t>
      </w:r>
      <w:r>
        <w:rPr>
          <w:rFonts w:ascii="Tw Cen MT" w:hAnsi="Tw Cen MT"/>
          <w:sz w:val="18"/>
          <w:szCs w:val="18"/>
        </w:rPr>
        <w:t xml:space="preserve">Sammanställning över </w:t>
      </w:r>
      <w:r w:rsidR="00E73B1B">
        <w:rPr>
          <w:rFonts w:ascii="Tw Cen MT" w:hAnsi="Tw Cen MT"/>
          <w:sz w:val="18"/>
          <w:szCs w:val="18"/>
        </w:rPr>
        <w:t>populations</w:t>
      </w:r>
      <w:r>
        <w:rPr>
          <w:rFonts w:ascii="Tw Cen MT" w:hAnsi="Tw Cen MT"/>
          <w:sz w:val="18"/>
          <w:szCs w:val="18"/>
        </w:rPr>
        <w:t>storlek för SCB-statistik och LTH-undersökningar.</w:t>
      </w:r>
    </w:p>
    <w:tbl>
      <w:tblPr>
        <w:tblStyle w:val="Mellanmrkskuggning2-dekorfrg1"/>
        <w:tblW w:w="0" w:type="auto"/>
        <w:tblLayout w:type="fixed"/>
        <w:tblLook w:val="04A0" w:firstRow="1" w:lastRow="0" w:firstColumn="1" w:lastColumn="0" w:noHBand="0" w:noVBand="1"/>
      </w:tblPr>
      <w:tblGrid>
        <w:gridCol w:w="943"/>
        <w:gridCol w:w="2746"/>
        <w:gridCol w:w="3082"/>
        <w:gridCol w:w="2618"/>
      </w:tblGrid>
      <w:tr w:rsidR="0058010B" w:rsidRPr="00B8781B" w:rsidTr="00750544">
        <w:trPr>
          <w:cnfStyle w:val="100000000000" w:firstRow="1" w:lastRow="0" w:firstColumn="0" w:lastColumn="0" w:oddVBand="0" w:evenVBand="0" w:oddHBand="0" w:evenHBand="0" w:firstRowFirstColumn="0" w:firstRowLastColumn="0" w:lastRowFirstColumn="0" w:lastRowLastColumn="0"/>
          <w:trHeight w:val="742"/>
        </w:trPr>
        <w:tc>
          <w:tcPr>
            <w:cnfStyle w:val="001000000100" w:firstRow="0" w:lastRow="0" w:firstColumn="1" w:lastColumn="0" w:oddVBand="0" w:evenVBand="0" w:oddHBand="0" w:evenHBand="0" w:firstRowFirstColumn="1" w:firstRowLastColumn="0" w:lastRowFirstColumn="0" w:lastRowLastColumn="0"/>
            <w:tcW w:w="943" w:type="dxa"/>
          </w:tcPr>
          <w:p w:rsidR="0058010B" w:rsidRPr="00B8781B" w:rsidRDefault="0058010B" w:rsidP="004B602C">
            <w:pPr>
              <w:rPr>
                <w:rFonts w:asciiTheme="minorHAnsi" w:hAnsiTheme="minorHAnsi"/>
                <w:sz w:val="20"/>
                <w:szCs w:val="20"/>
              </w:rPr>
            </w:pPr>
          </w:p>
        </w:tc>
        <w:tc>
          <w:tcPr>
            <w:tcW w:w="2746" w:type="dxa"/>
          </w:tcPr>
          <w:p w:rsidR="00750544" w:rsidRDefault="00750544"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Populationsstorlek</w:t>
            </w:r>
          </w:p>
          <w:p w:rsidR="0058010B" w:rsidRPr="00B8781B" w:rsidRDefault="0058010B"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Nybyggnads</w:t>
            </w:r>
            <w:r w:rsidRPr="00B8781B">
              <w:rPr>
                <w:rFonts w:asciiTheme="minorHAnsi" w:hAnsiTheme="minorHAnsi"/>
                <w:sz w:val="20"/>
                <w:szCs w:val="20"/>
              </w:rPr>
              <w:t>statistik, SCB</w:t>
            </w:r>
          </w:p>
          <w:p w:rsidR="0058010B" w:rsidRPr="00B8781B" w:rsidRDefault="0058010B"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(antal påbörjade lgh)</w:t>
            </w:r>
          </w:p>
        </w:tc>
        <w:tc>
          <w:tcPr>
            <w:tcW w:w="3082" w:type="dxa"/>
          </w:tcPr>
          <w:p w:rsidR="0058010B" w:rsidRPr="00B8781B" w:rsidRDefault="00E73B1B"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Populations</w:t>
            </w:r>
            <w:r w:rsidR="0058010B" w:rsidRPr="00B8781B">
              <w:rPr>
                <w:rFonts w:asciiTheme="minorHAnsi" w:hAnsiTheme="minorHAnsi"/>
                <w:sz w:val="20"/>
                <w:szCs w:val="20"/>
              </w:rPr>
              <w:t>storlek</w:t>
            </w:r>
          </w:p>
          <w:p w:rsidR="0058010B" w:rsidRPr="00B8781B" w:rsidRDefault="00D26A62"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Nybyggnadskostnadsstatistik,</w:t>
            </w:r>
            <w:r w:rsidR="00750544">
              <w:rPr>
                <w:rFonts w:asciiTheme="minorHAnsi" w:hAnsiTheme="minorHAnsi"/>
                <w:sz w:val="20"/>
                <w:szCs w:val="20"/>
              </w:rPr>
              <w:t xml:space="preserve"> SCB</w:t>
            </w:r>
          </w:p>
          <w:p w:rsidR="0058010B" w:rsidRPr="00B8781B" w:rsidRDefault="0058010B"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(antal påbörjade lgh)</w:t>
            </w:r>
          </w:p>
        </w:tc>
        <w:tc>
          <w:tcPr>
            <w:tcW w:w="2618" w:type="dxa"/>
          </w:tcPr>
          <w:p w:rsidR="0058010B" w:rsidRPr="00B8781B" w:rsidRDefault="00E73B1B"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Populations</w:t>
            </w:r>
            <w:r w:rsidR="0058010B" w:rsidRPr="00B8781B">
              <w:rPr>
                <w:rFonts w:asciiTheme="minorHAnsi" w:hAnsiTheme="minorHAnsi"/>
                <w:sz w:val="20"/>
                <w:szCs w:val="20"/>
              </w:rPr>
              <w:t>storlek</w:t>
            </w:r>
          </w:p>
          <w:p w:rsidR="0058010B" w:rsidRPr="00B8781B" w:rsidRDefault="0058010B" w:rsidP="004B60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 xml:space="preserve">LTH-undersökningar </w:t>
            </w:r>
            <w:r>
              <w:rPr>
                <w:rFonts w:asciiTheme="minorHAnsi" w:hAnsiTheme="minorHAnsi"/>
                <w:sz w:val="20"/>
                <w:szCs w:val="20"/>
              </w:rPr>
              <w:t xml:space="preserve">         </w:t>
            </w:r>
            <w:r w:rsidRPr="00B8781B">
              <w:rPr>
                <w:rFonts w:asciiTheme="minorHAnsi" w:hAnsiTheme="minorHAnsi"/>
                <w:sz w:val="20"/>
                <w:szCs w:val="20"/>
              </w:rPr>
              <w:t>(antal påbörjade lgh)</w:t>
            </w: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2000</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8 597</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4 621</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10B" w:rsidRPr="00B8781B" w:rsidTr="00750544">
        <w:trPr>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2001</w:t>
            </w:r>
          </w:p>
        </w:tc>
        <w:tc>
          <w:tcPr>
            <w:tcW w:w="2746"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12 393</w:t>
            </w:r>
          </w:p>
        </w:tc>
        <w:tc>
          <w:tcPr>
            <w:tcW w:w="3082"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5 621</w:t>
            </w:r>
          </w:p>
        </w:tc>
        <w:tc>
          <w:tcPr>
            <w:tcW w:w="2618"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2002</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11 705</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7 501</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10B" w:rsidRPr="00B8781B" w:rsidTr="00750544">
        <w:trPr>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2003</w:t>
            </w:r>
          </w:p>
        </w:tc>
        <w:tc>
          <w:tcPr>
            <w:tcW w:w="2746"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12 710</w:t>
            </w:r>
          </w:p>
        </w:tc>
        <w:tc>
          <w:tcPr>
            <w:tcW w:w="3082"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7 554</w:t>
            </w:r>
          </w:p>
        </w:tc>
        <w:tc>
          <w:tcPr>
            <w:tcW w:w="2618"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2004</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16 883</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10 592</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10B" w:rsidRPr="00B8781B" w:rsidTr="00750544">
        <w:trPr>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2005</w:t>
            </w:r>
          </w:p>
        </w:tc>
        <w:tc>
          <w:tcPr>
            <w:tcW w:w="2746"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19 549</w:t>
            </w:r>
          </w:p>
        </w:tc>
        <w:tc>
          <w:tcPr>
            <w:tcW w:w="3082"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12 845</w:t>
            </w:r>
          </w:p>
        </w:tc>
        <w:tc>
          <w:tcPr>
            <w:tcW w:w="2618"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18 185</w:t>
            </w: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2006</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31 515</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15 263</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10B" w:rsidRPr="00B8781B" w:rsidTr="00750544">
        <w:trPr>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2007</w:t>
            </w:r>
          </w:p>
        </w:tc>
        <w:tc>
          <w:tcPr>
            <w:tcW w:w="2746"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13 974</w:t>
            </w:r>
          </w:p>
        </w:tc>
        <w:tc>
          <w:tcPr>
            <w:tcW w:w="3082"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16 310</w:t>
            </w:r>
          </w:p>
        </w:tc>
        <w:tc>
          <w:tcPr>
            <w:tcW w:w="2618"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2008</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11 145</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9 019</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10B" w:rsidRPr="00B8781B" w:rsidTr="00750544">
        <w:trPr>
          <w:trHeight w:val="258"/>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2009</w:t>
            </w:r>
          </w:p>
        </w:tc>
        <w:tc>
          <w:tcPr>
            <w:tcW w:w="2746"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9 495</w:t>
            </w:r>
          </w:p>
        </w:tc>
        <w:tc>
          <w:tcPr>
            <w:tcW w:w="3082"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6 961</w:t>
            </w:r>
          </w:p>
        </w:tc>
        <w:tc>
          <w:tcPr>
            <w:tcW w:w="2618"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2010</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17 762</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12 127</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10B" w:rsidRPr="00B8781B" w:rsidTr="00750544">
        <w:trPr>
          <w:trHeight w:val="242"/>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2011</w:t>
            </w:r>
          </w:p>
        </w:tc>
        <w:tc>
          <w:tcPr>
            <w:tcW w:w="2746"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18 407</w:t>
            </w:r>
          </w:p>
        </w:tc>
        <w:tc>
          <w:tcPr>
            <w:tcW w:w="3082"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13 398</w:t>
            </w:r>
          </w:p>
        </w:tc>
        <w:tc>
          <w:tcPr>
            <w:tcW w:w="2618" w:type="dxa"/>
          </w:tcPr>
          <w:p w:rsidR="0058010B" w:rsidRPr="00B8781B" w:rsidRDefault="0058010B" w:rsidP="004B60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8010B" w:rsidRPr="00B8781B" w:rsidTr="0075054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43" w:type="dxa"/>
          </w:tcPr>
          <w:p w:rsidR="0058010B" w:rsidRPr="00B8781B" w:rsidRDefault="0058010B" w:rsidP="004B602C">
            <w:pPr>
              <w:rPr>
                <w:rFonts w:asciiTheme="minorHAnsi" w:hAnsiTheme="minorHAnsi"/>
                <w:sz w:val="20"/>
                <w:szCs w:val="20"/>
              </w:rPr>
            </w:pPr>
            <w:r w:rsidRPr="00B8781B">
              <w:rPr>
                <w:rFonts w:asciiTheme="minorHAnsi" w:hAnsiTheme="minorHAnsi"/>
                <w:sz w:val="20"/>
                <w:szCs w:val="20"/>
              </w:rPr>
              <w:t>2012</w:t>
            </w:r>
          </w:p>
        </w:tc>
        <w:tc>
          <w:tcPr>
            <w:tcW w:w="2746"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16 045</w:t>
            </w:r>
          </w:p>
        </w:tc>
        <w:tc>
          <w:tcPr>
            <w:tcW w:w="3082"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12 520</w:t>
            </w:r>
          </w:p>
        </w:tc>
        <w:tc>
          <w:tcPr>
            <w:tcW w:w="2618" w:type="dxa"/>
          </w:tcPr>
          <w:p w:rsidR="0058010B" w:rsidRPr="00B8781B" w:rsidRDefault="0058010B" w:rsidP="004B60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781B">
              <w:rPr>
                <w:rFonts w:asciiTheme="minorHAnsi" w:hAnsiTheme="minorHAnsi"/>
                <w:sz w:val="20"/>
                <w:szCs w:val="20"/>
              </w:rPr>
              <w:t>16 506</w:t>
            </w:r>
          </w:p>
        </w:tc>
      </w:tr>
    </w:tbl>
    <w:p w:rsidR="0058010B" w:rsidRDefault="0058010B" w:rsidP="0058010B">
      <w:pPr>
        <w:rPr>
          <w:rFonts w:ascii="Tw Cen MT" w:hAnsi="Tw Cen MT"/>
        </w:rPr>
      </w:pPr>
    </w:p>
    <w:p w:rsidR="00887806" w:rsidRDefault="0020277A" w:rsidP="00090915">
      <w:pPr>
        <w:rPr>
          <w:rFonts w:ascii="Tw Cen MT" w:hAnsi="Tw Cen MT"/>
        </w:rPr>
      </w:pPr>
      <w:r>
        <w:rPr>
          <w:rFonts w:ascii="Tw Cen MT" w:hAnsi="Tw Cen MT"/>
        </w:rPr>
        <w:t>Nybyggnadskostnadsstatistiken</w:t>
      </w:r>
      <w:r w:rsidR="00616479">
        <w:rPr>
          <w:rFonts w:ascii="Tw Cen MT" w:hAnsi="Tw Cen MT"/>
        </w:rPr>
        <w:t xml:space="preserve">, se SCB </w:t>
      </w:r>
      <w:r w:rsidR="00271B57">
        <w:rPr>
          <w:rFonts w:ascii="Tw Cen MT" w:hAnsi="Tw Cen MT"/>
        </w:rPr>
        <w:t>[</w:t>
      </w:r>
      <w:r w:rsidR="00616479">
        <w:rPr>
          <w:rFonts w:ascii="Tw Cen MT" w:hAnsi="Tw Cen MT"/>
        </w:rPr>
        <w:t>9</w:t>
      </w:r>
      <w:r w:rsidR="00271B57">
        <w:rPr>
          <w:rFonts w:ascii="Tw Cen MT" w:hAnsi="Tw Cen MT"/>
        </w:rPr>
        <w:t>]</w:t>
      </w:r>
      <w:r w:rsidR="00616479">
        <w:rPr>
          <w:rFonts w:ascii="Tw Cen MT" w:hAnsi="Tw Cen MT"/>
        </w:rPr>
        <w:t>,</w:t>
      </w:r>
      <w:r>
        <w:rPr>
          <w:rFonts w:ascii="Tw Cen MT" w:hAnsi="Tw Cen MT"/>
        </w:rPr>
        <w:t xml:space="preserve"> </w:t>
      </w:r>
      <w:r w:rsidR="00911C90" w:rsidRPr="001C602D">
        <w:rPr>
          <w:rFonts w:ascii="Tw Cen MT" w:hAnsi="Tw Cen MT"/>
        </w:rPr>
        <w:t>avser lägenheter för permanent boende.</w:t>
      </w:r>
      <w:r w:rsidR="00911C90">
        <w:rPr>
          <w:rFonts w:ascii="Tw Cen MT" w:hAnsi="Tw Cen MT"/>
        </w:rPr>
        <w:t xml:space="preserve"> </w:t>
      </w:r>
      <w:r w:rsidR="00911C90" w:rsidRPr="001C602D">
        <w:rPr>
          <w:rFonts w:ascii="Tw Cen MT" w:hAnsi="Tw Cen MT"/>
        </w:rPr>
        <w:t>Hus där antalet specialbostäder, t.ex. studentlägenheter och äldreboende, är större än 10</w:t>
      </w:r>
      <w:r w:rsidR="00BB79B1">
        <w:rPr>
          <w:rFonts w:ascii="Tw Cen MT" w:hAnsi="Tw Cen MT"/>
        </w:rPr>
        <w:t xml:space="preserve"> </w:t>
      </w:r>
      <w:r w:rsidR="00911C90" w:rsidRPr="001C602D">
        <w:rPr>
          <w:rFonts w:ascii="Tw Cen MT" w:hAnsi="Tw Cen MT"/>
        </w:rPr>
        <w:t xml:space="preserve">% av totala antalet lägenheter </w:t>
      </w:r>
      <w:r w:rsidR="00CC27B5">
        <w:rPr>
          <w:rFonts w:ascii="Tw Cen MT" w:hAnsi="Tw Cen MT"/>
        </w:rPr>
        <w:t>ingår</w:t>
      </w:r>
      <w:r w:rsidR="00A127EC">
        <w:rPr>
          <w:rFonts w:ascii="Tw Cen MT" w:hAnsi="Tw Cen MT"/>
        </w:rPr>
        <w:t xml:space="preserve"> </w:t>
      </w:r>
      <w:r w:rsidR="00E82236">
        <w:rPr>
          <w:rFonts w:ascii="Tw Cen MT" w:hAnsi="Tw Cen MT"/>
        </w:rPr>
        <w:t>ej</w:t>
      </w:r>
      <w:r w:rsidR="00911C90" w:rsidRPr="001C602D">
        <w:rPr>
          <w:rFonts w:ascii="Tw Cen MT" w:hAnsi="Tw Cen MT"/>
        </w:rPr>
        <w:t>. Detta är en skillnad jämfört med LTH</w:t>
      </w:r>
      <w:r w:rsidR="000D56A5">
        <w:rPr>
          <w:rFonts w:ascii="Tw Cen MT" w:hAnsi="Tw Cen MT"/>
        </w:rPr>
        <w:t>:</w:t>
      </w:r>
      <w:r w:rsidR="00BB79B1">
        <w:rPr>
          <w:rFonts w:ascii="Tw Cen MT" w:hAnsi="Tw Cen MT"/>
        </w:rPr>
        <w:t xml:space="preserve">s totalstudier </w:t>
      </w:r>
      <w:r w:rsidR="00911C90" w:rsidRPr="001C602D">
        <w:rPr>
          <w:rFonts w:ascii="Tw Cen MT" w:hAnsi="Tw Cen MT"/>
        </w:rPr>
        <w:t>där specialbostäder ingår.</w:t>
      </w:r>
      <w:r w:rsidR="00B56132">
        <w:rPr>
          <w:rFonts w:ascii="Tw Cen MT" w:hAnsi="Tw Cen MT"/>
        </w:rPr>
        <w:t xml:space="preserve"> </w:t>
      </w:r>
      <w:r w:rsidR="00E82236">
        <w:rPr>
          <w:rFonts w:ascii="Tw Cen MT" w:hAnsi="Tw Cen MT"/>
        </w:rPr>
        <w:t xml:space="preserve">Den klassificering av stomtyp som tillämpats av SCB är likartad med den som använts vid LTH-undersökningarna. </w:t>
      </w:r>
      <w:r w:rsidR="006713F3">
        <w:rPr>
          <w:rFonts w:ascii="Tw Cen MT" w:hAnsi="Tw Cen MT"/>
        </w:rPr>
        <w:t>En skillnad är dock att fram tills år 2006 var det möjligt att ange om flera material</w:t>
      </w:r>
      <w:r w:rsidR="00D06CA9">
        <w:rPr>
          <w:rFonts w:ascii="Tw Cen MT" w:hAnsi="Tw Cen MT"/>
        </w:rPr>
        <w:t>typer</w:t>
      </w:r>
      <w:r w:rsidR="006713F3">
        <w:rPr>
          <w:rFonts w:ascii="Tw Cen MT" w:hAnsi="Tw Cen MT"/>
        </w:rPr>
        <w:t xml:space="preserve"> användes. År 2007 tog</w:t>
      </w:r>
      <w:r w:rsidR="00BB79B1">
        <w:rPr>
          <w:rFonts w:ascii="Tw Cen MT" w:hAnsi="Tw Cen MT"/>
        </w:rPr>
        <w:t xml:space="preserve"> SCB </w:t>
      </w:r>
      <w:r w:rsidR="00BB79B1">
        <w:rPr>
          <w:rFonts w:ascii="Tw Cen MT" w:hAnsi="Tw Cen MT"/>
        </w:rPr>
        <w:lastRenderedPageBreak/>
        <w:t>bort</w:t>
      </w:r>
      <w:r w:rsidR="006713F3">
        <w:rPr>
          <w:rFonts w:ascii="Tw Cen MT" w:hAnsi="Tw Cen MT"/>
        </w:rPr>
        <w:t xml:space="preserve"> denna möjlighet och efter det så är det huvudsakliga materialet som avgör typ av stomme. Detta innebär att fram tills 2006 finns även kategorin ”annat” som avser de fall där stomtypen bestått av flera materialkombinationer. Efter 2007 har dessa kombinationer införlivats i de mer entydiga klasserna tung eller lätt stomme</w:t>
      </w:r>
      <w:r w:rsidR="00D06CA9">
        <w:rPr>
          <w:rFonts w:ascii="Tw Cen MT" w:hAnsi="Tw Cen MT"/>
        </w:rPr>
        <w:t xml:space="preserve"> utifrån principen vilken materialtyp som är dominerande</w:t>
      </w:r>
      <w:r w:rsidR="006713F3">
        <w:rPr>
          <w:rFonts w:ascii="Tw Cen MT" w:hAnsi="Tw Cen MT"/>
        </w:rPr>
        <w:t xml:space="preserve">. </w:t>
      </w:r>
    </w:p>
    <w:p w:rsidR="009260CD" w:rsidRPr="0072661F" w:rsidRDefault="000409CA" w:rsidP="00DE1759">
      <w:pPr>
        <w:rPr>
          <w:rFonts w:ascii="Tw Cen MT" w:hAnsi="Tw Cen MT"/>
        </w:rPr>
      </w:pPr>
      <w:r w:rsidRPr="0072661F">
        <w:rPr>
          <w:rFonts w:ascii="Tw Cen MT" w:hAnsi="Tw Cen MT"/>
        </w:rPr>
        <w:t xml:space="preserve"> </w:t>
      </w:r>
    </w:p>
    <w:p w:rsidR="00216795" w:rsidRDefault="00216795" w:rsidP="00F203FA">
      <w:pPr>
        <w:pStyle w:val="Rubrik2"/>
        <w:spacing w:before="240" w:after="120"/>
        <w:rPr>
          <w:rFonts w:asciiTheme="minorHAnsi" w:hAnsiTheme="minorHAnsi"/>
        </w:rPr>
      </w:pPr>
      <w:r>
        <w:rPr>
          <w:rFonts w:asciiTheme="minorHAnsi" w:hAnsiTheme="minorHAnsi"/>
        </w:rPr>
        <w:t>Referenser</w:t>
      </w:r>
    </w:p>
    <w:p w:rsidR="003F37A8" w:rsidRPr="00FE0CBC" w:rsidRDefault="00533DBF" w:rsidP="00216795">
      <w:pPr>
        <w:pStyle w:val="Liststycke"/>
        <w:numPr>
          <w:ilvl w:val="0"/>
          <w:numId w:val="3"/>
        </w:numPr>
        <w:rPr>
          <w:rFonts w:ascii="Tw Cen MT" w:hAnsi="Tw Cen MT"/>
          <w:sz w:val="20"/>
          <w:szCs w:val="20"/>
        </w:rPr>
      </w:pPr>
      <w:r w:rsidRPr="00FE0CBC">
        <w:rPr>
          <w:rFonts w:ascii="Tw Cen MT" w:hAnsi="Tw Cen MT"/>
          <w:sz w:val="20"/>
          <w:szCs w:val="20"/>
        </w:rPr>
        <w:t xml:space="preserve">Gustafsson, A. m.fl. (2012). </w:t>
      </w:r>
      <w:r w:rsidRPr="00FE0CBC">
        <w:rPr>
          <w:rFonts w:ascii="Tw Cen MT" w:hAnsi="Tw Cen MT"/>
          <w:i/>
          <w:sz w:val="20"/>
          <w:szCs w:val="20"/>
        </w:rPr>
        <w:t>Handbok för beställare och projektörer av flervånings bostadshus i trä</w:t>
      </w:r>
      <w:r w:rsidRPr="00FE0CBC">
        <w:rPr>
          <w:rFonts w:ascii="Tw Cen MT" w:hAnsi="Tw Cen MT"/>
          <w:sz w:val="20"/>
          <w:szCs w:val="20"/>
        </w:rPr>
        <w:t>, SP-rapport 2012:70.</w:t>
      </w:r>
    </w:p>
    <w:p w:rsidR="003F645A" w:rsidRDefault="003F37A8" w:rsidP="00216795">
      <w:pPr>
        <w:pStyle w:val="Liststycke"/>
        <w:numPr>
          <w:ilvl w:val="0"/>
          <w:numId w:val="3"/>
        </w:numPr>
        <w:rPr>
          <w:rFonts w:ascii="Tw Cen MT" w:hAnsi="Tw Cen MT"/>
          <w:sz w:val="20"/>
          <w:szCs w:val="20"/>
        </w:rPr>
      </w:pPr>
      <w:r w:rsidRPr="00FE0CBC">
        <w:rPr>
          <w:rFonts w:ascii="Tw Cen MT" w:hAnsi="Tw Cen MT"/>
          <w:sz w:val="20"/>
          <w:szCs w:val="20"/>
        </w:rPr>
        <w:t xml:space="preserve">Skogsindustrierna (2012). </w:t>
      </w:r>
      <w:r w:rsidRPr="00FE0CBC">
        <w:rPr>
          <w:rFonts w:ascii="Tw Cen MT" w:hAnsi="Tw Cen MT"/>
          <w:i/>
          <w:sz w:val="20"/>
          <w:szCs w:val="20"/>
        </w:rPr>
        <w:t>Industriellt byggande tar marknadsandelar</w:t>
      </w:r>
      <w:r w:rsidRPr="00FE0CBC">
        <w:rPr>
          <w:rFonts w:ascii="Tw Cen MT" w:hAnsi="Tw Cen MT"/>
          <w:sz w:val="20"/>
          <w:szCs w:val="20"/>
        </w:rPr>
        <w:t xml:space="preserve">. Internet: </w:t>
      </w:r>
      <w:hyperlink r:id="rId11" w:history="1">
        <w:r w:rsidRPr="00FE0CBC">
          <w:rPr>
            <w:rStyle w:val="Hyperlnk"/>
            <w:rFonts w:ascii="Tw Cen MT" w:hAnsi="Tw Cen MT"/>
            <w:sz w:val="20"/>
            <w:szCs w:val="20"/>
          </w:rPr>
          <w:t>www.skogsindustrierna.se</w:t>
        </w:r>
      </w:hyperlink>
      <w:r w:rsidRPr="00FE0CBC">
        <w:rPr>
          <w:rFonts w:ascii="Tw Cen MT" w:hAnsi="Tw Cen MT"/>
          <w:sz w:val="20"/>
          <w:szCs w:val="20"/>
        </w:rPr>
        <w:t>, datum: 2012-02-20.</w:t>
      </w:r>
    </w:p>
    <w:p w:rsidR="0097210B" w:rsidRDefault="0097210B" w:rsidP="00216795">
      <w:pPr>
        <w:pStyle w:val="Liststycke"/>
        <w:numPr>
          <w:ilvl w:val="0"/>
          <w:numId w:val="3"/>
        </w:numPr>
        <w:rPr>
          <w:rFonts w:ascii="Tw Cen MT" w:hAnsi="Tw Cen MT"/>
          <w:sz w:val="20"/>
          <w:szCs w:val="20"/>
        </w:rPr>
      </w:pPr>
      <w:r w:rsidRPr="00FE0CBC">
        <w:rPr>
          <w:rFonts w:ascii="Tw Cen MT" w:hAnsi="Tw Cen MT"/>
          <w:sz w:val="20"/>
          <w:szCs w:val="20"/>
        </w:rPr>
        <w:t xml:space="preserve">Nord, T. &amp; Brege, S. (2013). </w:t>
      </w:r>
      <w:r w:rsidRPr="00FE0CBC">
        <w:rPr>
          <w:rFonts w:ascii="Tw Cen MT" w:hAnsi="Tw Cen MT"/>
          <w:i/>
          <w:sz w:val="20"/>
          <w:szCs w:val="20"/>
        </w:rPr>
        <w:t>Värden för världen – Konsekvenser av ett ökat industriellt träbyggande</w:t>
      </w:r>
      <w:r w:rsidRPr="00FE0CBC">
        <w:rPr>
          <w:rFonts w:ascii="Tw Cen MT" w:hAnsi="Tw Cen MT"/>
          <w:sz w:val="20"/>
          <w:szCs w:val="20"/>
        </w:rPr>
        <w:t>, Rapport Linköpings Universitet.</w:t>
      </w:r>
    </w:p>
    <w:p w:rsidR="008D7045" w:rsidRDefault="008D7045" w:rsidP="00216795">
      <w:pPr>
        <w:pStyle w:val="Liststycke"/>
        <w:numPr>
          <w:ilvl w:val="0"/>
          <w:numId w:val="3"/>
        </w:numPr>
        <w:rPr>
          <w:rFonts w:ascii="Tw Cen MT" w:hAnsi="Tw Cen MT"/>
          <w:sz w:val="20"/>
          <w:szCs w:val="20"/>
        </w:rPr>
      </w:pPr>
      <w:r>
        <w:rPr>
          <w:rFonts w:ascii="Tw Cen MT" w:hAnsi="Tw Cen MT"/>
          <w:sz w:val="20"/>
          <w:szCs w:val="20"/>
        </w:rPr>
        <w:t xml:space="preserve">Boverket (2006). </w:t>
      </w:r>
      <w:r>
        <w:rPr>
          <w:rFonts w:ascii="Tw Cen MT" w:hAnsi="Tw Cen MT"/>
          <w:i/>
          <w:sz w:val="20"/>
          <w:szCs w:val="20"/>
        </w:rPr>
        <w:t xml:space="preserve">Open House – En rapport om tillkomsten av en ny produktionsmetod för prefabricerade flerbostadshus, </w:t>
      </w:r>
      <w:r>
        <w:rPr>
          <w:rFonts w:ascii="Tw Cen MT" w:hAnsi="Tw Cen MT"/>
          <w:sz w:val="20"/>
          <w:szCs w:val="20"/>
        </w:rPr>
        <w:t>Rapport Boverket, ISBN: 91-7147-983-X.</w:t>
      </w:r>
    </w:p>
    <w:p w:rsidR="00533DBF" w:rsidRPr="00FE0CBC" w:rsidRDefault="003F645A" w:rsidP="00216795">
      <w:pPr>
        <w:pStyle w:val="Liststycke"/>
        <w:numPr>
          <w:ilvl w:val="0"/>
          <w:numId w:val="3"/>
        </w:numPr>
        <w:rPr>
          <w:rFonts w:ascii="Tw Cen MT" w:hAnsi="Tw Cen MT"/>
          <w:sz w:val="20"/>
          <w:szCs w:val="20"/>
        </w:rPr>
      </w:pPr>
      <w:r>
        <w:rPr>
          <w:rFonts w:ascii="Tw Cen MT" w:hAnsi="Tw Cen MT"/>
          <w:sz w:val="20"/>
          <w:szCs w:val="20"/>
        </w:rPr>
        <w:t xml:space="preserve">Cementa (2008). </w:t>
      </w:r>
      <w:r w:rsidRPr="003F645A">
        <w:rPr>
          <w:rFonts w:ascii="Tw Cen MT" w:hAnsi="Tw Cen MT"/>
          <w:i/>
          <w:sz w:val="20"/>
          <w:szCs w:val="20"/>
        </w:rPr>
        <w:t>Mer betong används i flerbostadshus</w:t>
      </w:r>
      <w:r>
        <w:rPr>
          <w:rFonts w:ascii="Tw Cen MT" w:hAnsi="Tw Cen MT"/>
          <w:i/>
          <w:sz w:val="20"/>
          <w:szCs w:val="20"/>
        </w:rPr>
        <w:t xml:space="preserve">, </w:t>
      </w:r>
      <w:r>
        <w:rPr>
          <w:rFonts w:ascii="Tw Cen MT" w:hAnsi="Tw Cen MT"/>
          <w:sz w:val="20"/>
          <w:szCs w:val="20"/>
        </w:rPr>
        <w:t xml:space="preserve">Kundkontakt, Informationsbrev nov 2008.  </w:t>
      </w:r>
      <w:r w:rsidR="00533DBF" w:rsidRPr="00FE0CBC">
        <w:rPr>
          <w:rFonts w:ascii="Tw Cen MT" w:hAnsi="Tw Cen MT"/>
          <w:sz w:val="20"/>
          <w:szCs w:val="20"/>
        </w:rPr>
        <w:t xml:space="preserve"> </w:t>
      </w:r>
    </w:p>
    <w:p w:rsidR="006802D0" w:rsidRPr="00FE0CBC" w:rsidRDefault="006802D0" w:rsidP="006802D0">
      <w:pPr>
        <w:pStyle w:val="Liststycke"/>
        <w:numPr>
          <w:ilvl w:val="0"/>
          <w:numId w:val="3"/>
        </w:numPr>
        <w:rPr>
          <w:rFonts w:ascii="Tw Cen MT" w:hAnsi="Tw Cen MT"/>
          <w:sz w:val="20"/>
          <w:szCs w:val="20"/>
        </w:rPr>
      </w:pPr>
      <w:r w:rsidRPr="00FE0CBC">
        <w:rPr>
          <w:rFonts w:ascii="Tw Cen MT" w:hAnsi="Tw Cen MT"/>
          <w:sz w:val="20"/>
          <w:szCs w:val="20"/>
        </w:rPr>
        <w:t xml:space="preserve">Larsson, R. (2008). </w:t>
      </w:r>
      <w:r w:rsidRPr="00FE0CBC">
        <w:rPr>
          <w:rFonts w:ascii="Tw Cen MT" w:hAnsi="Tw Cen MT"/>
          <w:i/>
          <w:sz w:val="20"/>
          <w:szCs w:val="20"/>
        </w:rPr>
        <w:t>Platsgjutna stommar för flerbostadshus – Beskrivning av stombyggnadsprocessen idag och metod för analys av effektiviseringsmöjligheter</w:t>
      </w:r>
      <w:r w:rsidRPr="00FE0CBC">
        <w:rPr>
          <w:rFonts w:ascii="Tw Cen MT" w:hAnsi="Tw Cen MT"/>
          <w:sz w:val="20"/>
          <w:szCs w:val="20"/>
        </w:rPr>
        <w:t>. Rapport Lunds Tekniska Högskola, TVBK-3057.</w:t>
      </w:r>
    </w:p>
    <w:p w:rsidR="006802D0" w:rsidRPr="00FE0CBC" w:rsidRDefault="006802D0" w:rsidP="006802D0">
      <w:pPr>
        <w:pStyle w:val="Liststycke"/>
        <w:numPr>
          <w:ilvl w:val="0"/>
          <w:numId w:val="3"/>
        </w:numPr>
        <w:rPr>
          <w:rFonts w:ascii="Tw Cen MT" w:hAnsi="Tw Cen MT"/>
          <w:sz w:val="20"/>
          <w:szCs w:val="20"/>
          <w:lang w:val="en-US"/>
        </w:rPr>
      </w:pPr>
      <w:r w:rsidRPr="00FE0CBC">
        <w:rPr>
          <w:rFonts w:ascii="Tw Cen MT" w:hAnsi="Tw Cen MT"/>
          <w:sz w:val="20"/>
          <w:szCs w:val="20"/>
          <w:lang w:val="en-US"/>
        </w:rPr>
        <w:t xml:space="preserve">Larsson, R. (2010). </w:t>
      </w:r>
      <w:r w:rsidRPr="00FE0CBC">
        <w:rPr>
          <w:rFonts w:ascii="Tw Cen MT" w:hAnsi="Tw Cen MT"/>
          <w:i/>
          <w:sz w:val="20"/>
          <w:szCs w:val="20"/>
          <w:lang w:val="en-US"/>
        </w:rPr>
        <w:t>In-situ concrete frameworks in multifamily buildings – Modelling and simulation of construction activities and methods</w:t>
      </w:r>
      <w:r w:rsidRPr="00FE0CBC">
        <w:rPr>
          <w:rFonts w:ascii="Tw Cen MT" w:hAnsi="Tw Cen MT"/>
          <w:sz w:val="20"/>
          <w:szCs w:val="20"/>
          <w:lang w:val="en-US"/>
        </w:rPr>
        <w:t>, Licentiate Thesis Lund University, TVBK-1038.</w:t>
      </w:r>
    </w:p>
    <w:p w:rsidR="00303342" w:rsidRPr="00FE0CBC" w:rsidRDefault="00303342" w:rsidP="00216795">
      <w:pPr>
        <w:pStyle w:val="Liststycke"/>
        <w:numPr>
          <w:ilvl w:val="0"/>
          <w:numId w:val="3"/>
        </w:numPr>
        <w:rPr>
          <w:rFonts w:ascii="Tw Cen MT" w:hAnsi="Tw Cen MT"/>
          <w:sz w:val="20"/>
          <w:szCs w:val="20"/>
        </w:rPr>
      </w:pPr>
      <w:r w:rsidRPr="00FE0CBC">
        <w:rPr>
          <w:rFonts w:ascii="Tw Cen MT" w:hAnsi="Tw Cen MT"/>
          <w:sz w:val="20"/>
          <w:szCs w:val="20"/>
        </w:rPr>
        <w:t xml:space="preserve">Sverige Bygger. Internet: </w:t>
      </w:r>
      <w:hyperlink r:id="rId12" w:history="1">
        <w:r w:rsidRPr="00FE0CBC">
          <w:rPr>
            <w:rStyle w:val="Hyperlnk"/>
            <w:rFonts w:ascii="Tw Cen MT" w:hAnsi="Tw Cen MT"/>
            <w:sz w:val="20"/>
            <w:szCs w:val="20"/>
          </w:rPr>
          <w:t>www.sverigebygger.se</w:t>
        </w:r>
      </w:hyperlink>
      <w:r w:rsidRPr="00FE0CBC">
        <w:rPr>
          <w:rFonts w:ascii="Tw Cen MT" w:hAnsi="Tw Cen MT"/>
          <w:sz w:val="20"/>
          <w:szCs w:val="20"/>
        </w:rPr>
        <w:t xml:space="preserve"> </w:t>
      </w:r>
    </w:p>
    <w:p w:rsidR="00B26A41" w:rsidRPr="005F2F65" w:rsidRDefault="00216795" w:rsidP="00DD36BB">
      <w:pPr>
        <w:pStyle w:val="Liststycke"/>
        <w:numPr>
          <w:ilvl w:val="0"/>
          <w:numId w:val="3"/>
        </w:numPr>
        <w:rPr>
          <w:rFonts w:ascii="Tw Cen MT" w:hAnsi="Tw Cen MT"/>
        </w:rPr>
      </w:pPr>
      <w:r w:rsidRPr="005F2F65">
        <w:rPr>
          <w:rFonts w:ascii="Tw Cen MT" w:hAnsi="Tw Cen MT"/>
          <w:sz w:val="20"/>
          <w:szCs w:val="20"/>
        </w:rPr>
        <w:t xml:space="preserve">SCB (2012). </w:t>
      </w:r>
      <w:r w:rsidRPr="005F2F65">
        <w:rPr>
          <w:rFonts w:ascii="Tw Cen MT" w:hAnsi="Tw Cen MT"/>
          <w:i/>
          <w:sz w:val="20"/>
          <w:szCs w:val="20"/>
        </w:rPr>
        <w:t>Priser för nyproducerade bostäder 2012 - Beskrivning av statistiken</w:t>
      </w:r>
      <w:r w:rsidRPr="005F2F65">
        <w:rPr>
          <w:rFonts w:ascii="Tw Cen MT" w:hAnsi="Tw Cen MT"/>
          <w:sz w:val="20"/>
          <w:szCs w:val="20"/>
        </w:rPr>
        <w:t xml:space="preserve">, Publikation SCB BO0201. Internet: </w:t>
      </w:r>
      <w:hyperlink r:id="rId13" w:history="1">
        <w:r w:rsidRPr="005F2F65">
          <w:rPr>
            <w:rStyle w:val="Hyperlnk"/>
            <w:rFonts w:ascii="Tw Cen MT" w:hAnsi="Tw Cen MT"/>
            <w:sz w:val="20"/>
            <w:szCs w:val="20"/>
          </w:rPr>
          <w:t>www.scb.se</w:t>
        </w:r>
      </w:hyperlink>
      <w:r w:rsidRPr="005F2F65">
        <w:rPr>
          <w:rFonts w:ascii="Tw Cen MT" w:hAnsi="Tw Cen MT"/>
          <w:sz w:val="20"/>
          <w:szCs w:val="20"/>
        </w:rPr>
        <w:t>.</w:t>
      </w:r>
    </w:p>
    <w:sectPr w:rsidR="00B26A41" w:rsidRPr="005F2F6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FE" w:rsidRDefault="002E47FE" w:rsidP="000E21AF">
      <w:pPr>
        <w:spacing w:after="0" w:line="240" w:lineRule="auto"/>
      </w:pPr>
      <w:r>
        <w:separator/>
      </w:r>
    </w:p>
  </w:endnote>
  <w:endnote w:type="continuationSeparator" w:id="0">
    <w:p w:rsidR="002E47FE" w:rsidRDefault="002E47FE" w:rsidP="000E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E5" w:rsidRDefault="007437E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672026"/>
      <w:docPartObj>
        <w:docPartGallery w:val="Page Numbers (Bottom of Page)"/>
        <w:docPartUnique/>
      </w:docPartObj>
    </w:sdtPr>
    <w:sdtEndPr/>
    <w:sdtContent>
      <w:p w:rsidR="00F863BD" w:rsidRDefault="00F863BD">
        <w:pPr>
          <w:pStyle w:val="Sidfot"/>
          <w:jc w:val="center"/>
        </w:pPr>
        <w:r>
          <w:fldChar w:fldCharType="begin"/>
        </w:r>
        <w:r>
          <w:instrText>PAGE   \* MERGEFORMAT</w:instrText>
        </w:r>
        <w:r>
          <w:fldChar w:fldCharType="separate"/>
        </w:r>
        <w:r w:rsidR="009A65F7">
          <w:rPr>
            <w:noProof/>
          </w:rPr>
          <w:t>3</w:t>
        </w:r>
        <w:r>
          <w:fldChar w:fldCharType="end"/>
        </w:r>
      </w:p>
    </w:sdtContent>
  </w:sdt>
  <w:p w:rsidR="001D2178" w:rsidRDefault="001D217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E5" w:rsidRDefault="007437E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FE" w:rsidRDefault="002E47FE" w:rsidP="000E21AF">
      <w:pPr>
        <w:spacing w:after="0" w:line="240" w:lineRule="auto"/>
      </w:pPr>
      <w:r>
        <w:separator/>
      </w:r>
    </w:p>
  </w:footnote>
  <w:footnote w:type="continuationSeparator" w:id="0">
    <w:p w:rsidR="002E47FE" w:rsidRDefault="002E47FE" w:rsidP="000E21AF">
      <w:pPr>
        <w:spacing w:after="0" w:line="240" w:lineRule="auto"/>
      </w:pPr>
      <w:r>
        <w:continuationSeparator/>
      </w:r>
    </w:p>
  </w:footnote>
  <w:footnote w:id="1">
    <w:p w:rsidR="00E74A4E" w:rsidRDefault="00E74A4E" w:rsidP="00E74A4E">
      <w:pPr>
        <w:pStyle w:val="Fotnotstext"/>
      </w:pPr>
      <w:r>
        <w:rPr>
          <w:rStyle w:val="Fotnotsreferens"/>
        </w:rPr>
        <w:footnoteRef/>
      </w:r>
      <w:r>
        <w:t xml:space="preserve"> </w:t>
      </w:r>
      <w:r w:rsidRPr="00E74A4E">
        <w:rPr>
          <w:rFonts w:ascii="Tw Cen MT" w:hAnsi="Tw Cen MT"/>
          <w:sz w:val="18"/>
          <w:szCs w:val="18"/>
        </w:rPr>
        <w:t>Definitionen av flerbostadshus är en byggnad med fler än tre lägenheter för permanent boende. I flerbostadshus ingår även specialbostäder, t.ex. seniorbostad, studentlägenhet, ungdomsbostad.</w:t>
      </w:r>
    </w:p>
    <w:p w:rsidR="00E74A4E" w:rsidRDefault="00E74A4E">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E5" w:rsidRDefault="007437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49" w:rsidRDefault="00CC4601">
    <w:pPr>
      <w:pStyle w:val="Sidhuvud"/>
    </w:pPr>
    <w:r>
      <w:t>Artikel</w:t>
    </w:r>
    <w:r w:rsidR="00057249">
      <w:t xml:space="preserve"> S-byggaren 2014</w:t>
    </w:r>
  </w:p>
  <w:p w:rsidR="00057249" w:rsidRDefault="0005724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E5" w:rsidRDefault="007437E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12AA"/>
    <w:multiLevelType w:val="hybridMultilevel"/>
    <w:tmpl w:val="7EE221D8"/>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
    <w:nsid w:val="2D4142E6"/>
    <w:multiLevelType w:val="hybridMultilevel"/>
    <w:tmpl w:val="6A7A2C06"/>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
    <w:nsid w:val="2FC97E5D"/>
    <w:multiLevelType w:val="hybridMultilevel"/>
    <w:tmpl w:val="42E6CC52"/>
    <w:lvl w:ilvl="0" w:tplc="0B1448BE">
      <w:start w:val="1"/>
      <w:numFmt w:val="decimal"/>
      <w:lvlText w:val="%1."/>
      <w:lvlJc w:val="left"/>
      <w:pPr>
        <w:ind w:left="720" w:hanging="360"/>
      </w:pPr>
      <w:rPr>
        <w:rFonts w:hint="default"/>
        <w:sz w:val="20"/>
        <w:szCs w:val="2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30"/>
    <w:rsid w:val="00002409"/>
    <w:rsid w:val="00002D9A"/>
    <w:rsid w:val="00003C72"/>
    <w:rsid w:val="00011625"/>
    <w:rsid w:val="00012069"/>
    <w:rsid w:val="0001520A"/>
    <w:rsid w:val="0001608C"/>
    <w:rsid w:val="000177F8"/>
    <w:rsid w:val="00026076"/>
    <w:rsid w:val="00031DE0"/>
    <w:rsid w:val="000409CA"/>
    <w:rsid w:val="00043668"/>
    <w:rsid w:val="00044201"/>
    <w:rsid w:val="00046474"/>
    <w:rsid w:val="000469E6"/>
    <w:rsid w:val="00052346"/>
    <w:rsid w:val="00056965"/>
    <w:rsid w:val="00057249"/>
    <w:rsid w:val="000601DE"/>
    <w:rsid w:val="000604AB"/>
    <w:rsid w:val="000663D5"/>
    <w:rsid w:val="00067960"/>
    <w:rsid w:val="00071B57"/>
    <w:rsid w:val="000732ED"/>
    <w:rsid w:val="00075155"/>
    <w:rsid w:val="00081AF5"/>
    <w:rsid w:val="00081D34"/>
    <w:rsid w:val="00082475"/>
    <w:rsid w:val="00090915"/>
    <w:rsid w:val="00093DE7"/>
    <w:rsid w:val="00094078"/>
    <w:rsid w:val="00095076"/>
    <w:rsid w:val="0009577A"/>
    <w:rsid w:val="000A24BB"/>
    <w:rsid w:val="000A4899"/>
    <w:rsid w:val="000A4B41"/>
    <w:rsid w:val="000A4BEC"/>
    <w:rsid w:val="000A54EA"/>
    <w:rsid w:val="000B389B"/>
    <w:rsid w:val="000C6A2D"/>
    <w:rsid w:val="000C7A74"/>
    <w:rsid w:val="000C7D85"/>
    <w:rsid w:val="000D56A5"/>
    <w:rsid w:val="000E21AF"/>
    <w:rsid w:val="000E38BA"/>
    <w:rsid w:val="000E5850"/>
    <w:rsid w:val="000E6966"/>
    <w:rsid w:val="000E6C6F"/>
    <w:rsid w:val="000F018A"/>
    <w:rsid w:val="000F11CC"/>
    <w:rsid w:val="000F5391"/>
    <w:rsid w:val="001005AC"/>
    <w:rsid w:val="00105D68"/>
    <w:rsid w:val="0010729C"/>
    <w:rsid w:val="00110F00"/>
    <w:rsid w:val="00116BA9"/>
    <w:rsid w:val="00117577"/>
    <w:rsid w:val="001226AB"/>
    <w:rsid w:val="00133544"/>
    <w:rsid w:val="00135888"/>
    <w:rsid w:val="00136DC9"/>
    <w:rsid w:val="001378D6"/>
    <w:rsid w:val="00140520"/>
    <w:rsid w:val="0014262B"/>
    <w:rsid w:val="001461A1"/>
    <w:rsid w:val="00146E2C"/>
    <w:rsid w:val="00147281"/>
    <w:rsid w:val="001610E8"/>
    <w:rsid w:val="00161E70"/>
    <w:rsid w:val="001621FE"/>
    <w:rsid w:val="0016393A"/>
    <w:rsid w:val="00164391"/>
    <w:rsid w:val="00165B56"/>
    <w:rsid w:val="0017010E"/>
    <w:rsid w:val="00175700"/>
    <w:rsid w:val="001814E6"/>
    <w:rsid w:val="00181B78"/>
    <w:rsid w:val="001828E3"/>
    <w:rsid w:val="00187EC9"/>
    <w:rsid w:val="001919A6"/>
    <w:rsid w:val="001A0EDC"/>
    <w:rsid w:val="001A20ED"/>
    <w:rsid w:val="001A2F6F"/>
    <w:rsid w:val="001A519B"/>
    <w:rsid w:val="001A549F"/>
    <w:rsid w:val="001A7FCA"/>
    <w:rsid w:val="001B0A56"/>
    <w:rsid w:val="001B3E0E"/>
    <w:rsid w:val="001C3F27"/>
    <w:rsid w:val="001C5285"/>
    <w:rsid w:val="001C602D"/>
    <w:rsid w:val="001D05C8"/>
    <w:rsid w:val="001D204A"/>
    <w:rsid w:val="001D2178"/>
    <w:rsid w:val="001D36E0"/>
    <w:rsid w:val="001D4393"/>
    <w:rsid w:val="001D5432"/>
    <w:rsid w:val="001E1D7A"/>
    <w:rsid w:val="001E1D81"/>
    <w:rsid w:val="001E2D01"/>
    <w:rsid w:val="001E3D4B"/>
    <w:rsid w:val="001E47EA"/>
    <w:rsid w:val="001E596E"/>
    <w:rsid w:val="001F04E1"/>
    <w:rsid w:val="001F0A86"/>
    <w:rsid w:val="001F6945"/>
    <w:rsid w:val="0020277A"/>
    <w:rsid w:val="00206BC5"/>
    <w:rsid w:val="002160DE"/>
    <w:rsid w:val="00216795"/>
    <w:rsid w:val="002179EB"/>
    <w:rsid w:val="00221E56"/>
    <w:rsid w:val="00221ECB"/>
    <w:rsid w:val="00223CDF"/>
    <w:rsid w:val="00223F47"/>
    <w:rsid w:val="002242AB"/>
    <w:rsid w:val="0023066E"/>
    <w:rsid w:val="00242A79"/>
    <w:rsid w:val="00245560"/>
    <w:rsid w:val="0024792E"/>
    <w:rsid w:val="00252973"/>
    <w:rsid w:val="002534D1"/>
    <w:rsid w:val="00254F04"/>
    <w:rsid w:val="00255A86"/>
    <w:rsid w:val="00256857"/>
    <w:rsid w:val="0026157C"/>
    <w:rsid w:val="0026251A"/>
    <w:rsid w:val="00271094"/>
    <w:rsid w:val="00271B57"/>
    <w:rsid w:val="00274871"/>
    <w:rsid w:val="00275FF4"/>
    <w:rsid w:val="00282ECD"/>
    <w:rsid w:val="002901FB"/>
    <w:rsid w:val="002912E2"/>
    <w:rsid w:val="002919A6"/>
    <w:rsid w:val="00293B02"/>
    <w:rsid w:val="002A67E0"/>
    <w:rsid w:val="002A6C62"/>
    <w:rsid w:val="002B289E"/>
    <w:rsid w:val="002B4559"/>
    <w:rsid w:val="002C12DC"/>
    <w:rsid w:val="002C4C0D"/>
    <w:rsid w:val="002C7747"/>
    <w:rsid w:val="002D4EEF"/>
    <w:rsid w:val="002D5736"/>
    <w:rsid w:val="002E1941"/>
    <w:rsid w:val="002E25F3"/>
    <w:rsid w:val="002E3E06"/>
    <w:rsid w:val="002E47FE"/>
    <w:rsid w:val="002E5CAF"/>
    <w:rsid w:val="002F0059"/>
    <w:rsid w:val="002F1EE9"/>
    <w:rsid w:val="002F35E3"/>
    <w:rsid w:val="002F43D9"/>
    <w:rsid w:val="002F4F58"/>
    <w:rsid w:val="00303342"/>
    <w:rsid w:val="00307ABA"/>
    <w:rsid w:val="00314617"/>
    <w:rsid w:val="0031570A"/>
    <w:rsid w:val="003259B1"/>
    <w:rsid w:val="00325C26"/>
    <w:rsid w:val="003307EB"/>
    <w:rsid w:val="00337BEE"/>
    <w:rsid w:val="00342753"/>
    <w:rsid w:val="00345F84"/>
    <w:rsid w:val="003501A1"/>
    <w:rsid w:val="00352EE4"/>
    <w:rsid w:val="003541B2"/>
    <w:rsid w:val="003569F8"/>
    <w:rsid w:val="00364C96"/>
    <w:rsid w:val="003664C9"/>
    <w:rsid w:val="003669A8"/>
    <w:rsid w:val="00381232"/>
    <w:rsid w:val="003839F7"/>
    <w:rsid w:val="003927C7"/>
    <w:rsid w:val="00393DF5"/>
    <w:rsid w:val="003A03ED"/>
    <w:rsid w:val="003A0612"/>
    <w:rsid w:val="003A28C1"/>
    <w:rsid w:val="003B14A5"/>
    <w:rsid w:val="003B4702"/>
    <w:rsid w:val="003B63EC"/>
    <w:rsid w:val="003B70EF"/>
    <w:rsid w:val="003B7AD9"/>
    <w:rsid w:val="003C17F3"/>
    <w:rsid w:val="003D36D9"/>
    <w:rsid w:val="003E77A1"/>
    <w:rsid w:val="003F293B"/>
    <w:rsid w:val="003F341F"/>
    <w:rsid w:val="003F37A8"/>
    <w:rsid w:val="003F39A7"/>
    <w:rsid w:val="003F645A"/>
    <w:rsid w:val="003F74E0"/>
    <w:rsid w:val="004014C9"/>
    <w:rsid w:val="00403D74"/>
    <w:rsid w:val="00410F0E"/>
    <w:rsid w:val="00411301"/>
    <w:rsid w:val="00411EA8"/>
    <w:rsid w:val="00424682"/>
    <w:rsid w:val="004275AD"/>
    <w:rsid w:val="0043612F"/>
    <w:rsid w:val="00441AF0"/>
    <w:rsid w:val="00441E74"/>
    <w:rsid w:val="00447699"/>
    <w:rsid w:val="004526DD"/>
    <w:rsid w:val="00453D36"/>
    <w:rsid w:val="00454178"/>
    <w:rsid w:val="00455011"/>
    <w:rsid w:val="00460182"/>
    <w:rsid w:val="0046157A"/>
    <w:rsid w:val="0046337E"/>
    <w:rsid w:val="00465B8F"/>
    <w:rsid w:val="00467A3D"/>
    <w:rsid w:val="00472A61"/>
    <w:rsid w:val="00473600"/>
    <w:rsid w:val="00474BA5"/>
    <w:rsid w:val="004772D9"/>
    <w:rsid w:val="00477BC4"/>
    <w:rsid w:val="00482D45"/>
    <w:rsid w:val="00484D28"/>
    <w:rsid w:val="00485646"/>
    <w:rsid w:val="004A010C"/>
    <w:rsid w:val="004A1E5F"/>
    <w:rsid w:val="004A5926"/>
    <w:rsid w:val="004B028B"/>
    <w:rsid w:val="004B1483"/>
    <w:rsid w:val="004B34C4"/>
    <w:rsid w:val="004C175D"/>
    <w:rsid w:val="004C1EDF"/>
    <w:rsid w:val="004C67C3"/>
    <w:rsid w:val="004C73D5"/>
    <w:rsid w:val="004D40E0"/>
    <w:rsid w:val="004E2360"/>
    <w:rsid w:val="004E54F6"/>
    <w:rsid w:val="004F0E5B"/>
    <w:rsid w:val="004F2365"/>
    <w:rsid w:val="004F5EEC"/>
    <w:rsid w:val="004F6630"/>
    <w:rsid w:val="00500E68"/>
    <w:rsid w:val="0050109C"/>
    <w:rsid w:val="005029A7"/>
    <w:rsid w:val="005040C6"/>
    <w:rsid w:val="0050735D"/>
    <w:rsid w:val="00507AF2"/>
    <w:rsid w:val="00507C56"/>
    <w:rsid w:val="00510BAE"/>
    <w:rsid w:val="00512ED8"/>
    <w:rsid w:val="00513A37"/>
    <w:rsid w:val="00516E7A"/>
    <w:rsid w:val="005205EA"/>
    <w:rsid w:val="0052416F"/>
    <w:rsid w:val="00530931"/>
    <w:rsid w:val="00533DBF"/>
    <w:rsid w:val="00540E5B"/>
    <w:rsid w:val="0055392B"/>
    <w:rsid w:val="005577E6"/>
    <w:rsid w:val="00560DD3"/>
    <w:rsid w:val="00562602"/>
    <w:rsid w:val="00562944"/>
    <w:rsid w:val="005630B6"/>
    <w:rsid w:val="005746D2"/>
    <w:rsid w:val="00577AF0"/>
    <w:rsid w:val="0058010B"/>
    <w:rsid w:val="005837AE"/>
    <w:rsid w:val="00584FE1"/>
    <w:rsid w:val="00587659"/>
    <w:rsid w:val="005927E7"/>
    <w:rsid w:val="00595846"/>
    <w:rsid w:val="005A40CF"/>
    <w:rsid w:val="005A5458"/>
    <w:rsid w:val="005B02A5"/>
    <w:rsid w:val="005C04C6"/>
    <w:rsid w:val="005D0A5B"/>
    <w:rsid w:val="005E3BC0"/>
    <w:rsid w:val="005F2F65"/>
    <w:rsid w:val="005F47FC"/>
    <w:rsid w:val="005F49CA"/>
    <w:rsid w:val="00602D58"/>
    <w:rsid w:val="00603287"/>
    <w:rsid w:val="006044D5"/>
    <w:rsid w:val="0061066B"/>
    <w:rsid w:val="00610B36"/>
    <w:rsid w:val="00613589"/>
    <w:rsid w:val="00616479"/>
    <w:rsid w:val="0062164C"/>
    <w:rsid w:val="006228E6"/>
    <w:rsid w:val="00624718"/>
    <w:rsid w:val="0062729E"/>
    <w:rsid w:val="00627E2F"/>
    <w:rsid w:val="0063448F"/>
    <w:rsid w:val="00640FB7"/>
    <w:rsid w:val="006434A2"/>
    <w:rsid w:val="00644C2B"/>
    <w:rsid w:val="006463D9"/>
    <w:rsid w:val="0064766E"/>
    <w:rsid w:val="006509C8"/>
    <w:rsid w:val="0065200A"/>
    <w:rsid w:val="00652EA5"/>
    <w:rsid w:val="00667FE0"/>
    <w:rsid w:val="00670E43"/>
    <w:rsid w:val="006713F3"/>
    <w:rsid w:val="00672E3E"/>
    <w:rsid w:val="0067486D"/>
    <w:rsid w:val="006762C8"/>
    <w:rsid w:val="00677C25"/>
    <w:rsid w:val="006802D0"/>
    <w:rsid w:val="006839E5"/>
    <w:rsid w:val="00684262"/>
    <w:rsid w:val="0068635B"/>
    <w:rsid w:val="006902B7"/>
    <w:rsid w:val="006945AE"/>
    <w:rsid w:val="0069654C"/>
    <w:rsid w:val="0069779F"/>
    <w:rsid w:val="006A1BCC"/>
    <w:rsid w:val="006C1FBB"/>
    <w:rsid w:val="006C37ED"/>
    <w:rsid w:val="006C426A"/>
    <w:rsid w:val="006C4644"/>
    <w:rsid w:val="006D7250"/>
    <w:rsid w:val="006E0230"/>
    <w:rsid w:val="006E0307"/>
    <w:rsid w:val="006E3AEC"/>
    <w:rsid w:val="006E3B3E"/>
    <w:rsid w:val="006E4634"/>
    <w:rsid w:val="006E491C"/>
    <w:rsid w:val="006E6676"/>
    <w:rsid w:val="00701BB8"/>
    <w:rsid w:val="00705A95"/>
    <w:rsid w:val="00705D66"/>
    <w:rsid w:val="00710366"/>
    <w:rsid w:val="00715BAD"/>
    <w:rsid w:val="0072071B"/>
    <w:rsid w:val="0072661F"/>
    <w:rsid w:val="007333D9"/>
    <w:rsid w:val="00736206"/>
    <w:rsid w:val="00736273"/>
    <w:rsid w:val="00742DCA"/>
    <w:rsid w:val="007437E5"/>
    <w:rsid w:val="0074506B"/>
    <w:rsid w:val="00747722"/>
    <w:rsid w:val="00750544"/>
    <w:rsid w:val="0075290A"/>
    <w:rsid w:val="00756F51"/>
    <w:rsid w:val="00763BD6"/>
    <w:rsid w:val="007648AA"/>
    <w:rsid w:val="00770472"/>
    <w:rsid w:val="0077557B"/>
    <w:rsid w:val="007757B3"/>
    <w:rsid w:val="00776ED5"/>
    <w:rsid w:val="00782D61"/>
    <w:rsid w:val="007840DA"/>
    <w:rsid w:val="00784746"/>
    <w:rsid w:val="00784AE4"/>
    <w:rsid w:val="00786446"/>
    <w:rsid w:val="007911E2"/>
    <w:rsid w:val="00793938"/>
    <w:rsid w:val="00795830"/>
    <w:rsid w:val="00796034"/>
    <w:rsid w:val="0079676F"/>
    <w:rsid w:val="007A4E7B"/>
    <w:rsid w:val="007A4EF9"/>
    <w:rsid w:val="007A50D1"/>
    <w:rsid w:val="007A6072"/>
    <w:rsid w:val="007B5841"/>
    <w:rsid w:val="007C1254"/>
    <w:rsid w:val="007D034E"/>
    <w:rsid w:val="007D3BEF"/>
    <w:rsid w:val="007E6062"/>
    <w:rsid w:val="007E7125"/>
    <w:rsid w:val="007E78C9"/>
    <w:rsid w:val="007F3F85"/>
    <w:rsid w:val="007F40D4"/>
    <w:rsid w:val="00800C4C"/>
    <w:rsid w:val="00805F06"/>
    <w:rsid w:val="00812F4C"/>
    <w:rsid w:val="008133D7"/>
    <w:rsid w:val="008148EB"/>
    <w:rsid w:val="00820C8E"/>
    <w:rsid w:val="0082406B"/>
    <w:rsid w:val="00825CA3"/>
    <w:rsid w:val="00836B3F"/>
    <w:rsid w:val="00840F70"/>
    <w:rsid w:val="00841F98"/>
    <w:rsid w:val="00843725"/>
    <w:rsid w:val="0084780E"/>
    <w:rsid w:val="008479D2"/>
    <w:rsid w:val="00854171"/>
    <w:rsid w:val="00863F27"/>
    <w:rsid w:val="00864BCD"/>
    <w:rsid w:val="0086624B"/>
    <w:rsid w:val="00867F61"/>
    <w:rsid w:val="00872537"/>
    <w:rsid w:val="008736DF"/>
    <w:rsid w:val="00887806"/>
    <w:rsid w:val="00887C01"/>
    <w:rsid w:val="00892B18"/>
    <w:rsid w:val="00894769"/>
    <w:rsid w:val="00896015"/>
    <w:rsid w:val="008965B8"/>
    <w:rsid w:val="008A2B97"/>
    <w:rsid w:val="008A718E"/>
    <w:rsid w:val="008B068B"/>
    <w:rsid w:val="008B7303"/>
    <w:rsid w:val="008C01C9"/>
    <w:rsid w:val="008C2A18"/>
    <w:rsid w:val="008C4252"/>
    <w:rsid w:val="008C5B07"/>
    <w:rsid w:val="008C6867"/>
    <w:rsid w:val="008D135D"/>
    <w:rsid w:val="008D7045"/>
    <w:rsid w:val="008E123D"/>
    <w:rsid w:val="008F5F1E"/>
    <w:rsid w:val="008F6FFF"/>
    <w:rsid w:val="008F7F9F"/>
    <w:rsid w:val="0090019C"/>
    <w:rsid w:val="0090155F"/>
    <w:rsid w:val="009044DF"/>
    <w:rsid w:val="0090722B"/>
    <w:rsid w:val="00911C90"/>
    <w:rsid w:val="0091470B"/>
    <w:rsid w:val="00917C02"/>
    <w:rsid w:val="00924336"/>
    <w:rsid w:val="009260CD"/>
    <w:rsid w:val="0093412C"/>
    <w:rsid w:val="00937211"/>
    <w:rsid w:val="0094138E"/>
    <w:rsid w:val="00942FE5"/>
    <w:rsid w:val="00945AD3"/>
    <w:rsid w:val="00946232"/>
    <w:rsid w:val="00951F5C"/>
    <w:rsid w:val="00953289"/>
    <w:rsid w:val="00955DA8"/>
    <w:rsid w:val="0095639D"/>
    <w:rsid w:val="00962D40"/>
    <w:rsid w:val="00966E3B"/>
    <w:rsid w:val="00967616"/>
    <w:rsid w:val="00970F09"/>
    <w:rsid w:val="00971FE1"/>
    <w:rsid w:val="0097210B"/>
    <w:rsid w:val="00972892"/>
    <w:rsid w:val="00973252"/>
    <w:rsid w:val="00974D68"/>
    <w:rsid w:val="00981BE9"/>
    <w:rsid w:val="009849CD"/>
    <w:rsid w:val="00986AB3"/>
    <w:rsid w:val="009909A7"/>
    <w:rsid w:val="00992AAD"/>
    <w:rsid w:val="00994239"/>
    <w:rsid w:val="00997741"/>
    <w:rsid w:val="009A3D83"/>
    <w:rsid w:val="009A4E46"/>
    <w:rsid w:val="009A65F7"/>
    <w:rsid w:val="009B1C0E"/>
    <w:rsid w:val="009B4902"/>
    <w:rsid w:val="009B5433"/>
    <w:rsid w:val="009B77C3"/>
    <w:rsid w:val="009C06AA"/>
    <w:rsid w:val="009C6B09"/>
    <w:rsid w:val="009C74E5"/>
    <w:rsid w:val="009D02BD"/>
    <w:rsid w:val="009D2161"/>
    <w:rsid w:val="009D3B84"/>
    <w:rsid w:val="009D3E04"/>
    <w:rsid w:val="009D5B29"/>
    <w:rsid w:val="009D7FC9"/>
    <w:rsid w:val="009E03F0"/>
    <w:rsid w:val="009E24EE"/>
    <w:rsid w:val="009E3364"/>
    <w:rsid w:val="009E5905"/>
    <w:rsid w:val="009F348E"/>
    <w:rsid w:val="009F3C58"/>
    <w:rsid w:val="009F4491"/>
    <w:rsid w:val="00A0074A"/>
    <w:rsid w:val="00A00F8E"/>
    <w:rsid w:val="00A035E3"/>
    <w:rsid w:val="00A04469"/>
    <w:rsid w:val="00A04499"/>
    <w:rsid w:val="00A0453D"/>
    <w:rsid w:val="00A127EC"/>
    <w:rsid w:val="00A13084"/>
    <w:rsid w:val="00A149CD"/>
    <w:rsid w:val="00A14F86"/>
    <w:rsid w:val="00A16212"/>
    <w:rsid w:val="00A21E76"/>
    <w:rsid w:val="00A25045"/>
    <w:rsid w:val="00A25C38"/>
    <w:rsid w:val="00A270ED"/>
    <w:rsid w:val="00A30A32"/>
    <w:rsid w:val="00A3105B"/>
    <w:rsid w:val="00A337FB"/>
    <w:rsid w:val="00A358FC"/>
    <w:rsid w:val="00A376C7"/>
    <w:rsid w:val="00A431B9"/>
    <w:rsid w:val="00A43A11"/>
    <w:rsid w:val="00A4481A"/>
    <w:rsid w:val="00A45ECE"/>
    <w:rsid w:val="00A505B2"/>
    <w:rsid w:val="00A50A2B"/>
    <w:rsid w:val="00A544E3"/>
    <w:rsid w:val="00A633D5"/>
    <w:rsid w:val="00A743D3"/>
    <w:rsid w:val="00A777D2"/>
    <w:rsid w:val="00A80680"/>
    <w:rsid w:val="00A8096A"/>
    <w:rsid w:val="00A903A8"/>
    <w:rsid w:val="00A91503"/>
    <w:rsid w:val="00A946C1"/>
    <w:rsid w:val="00A968CF"/>
    <w:rsid w:val="00AA01EB"/>
    <w:rsid w:val="00AA309C"/>
    <w:rsid w:val="00AA4F9F"/>
    <w:rsid w:val="00AA5B72"/>
    <w:rsid w:val="00AA6973"/>
    <w:rsid w:val="00AA6C5C"/>
    <w:rsid w:val="00AB1258"/>
    <w:rsid w:val="00AB1863"/>
    <w:rsid w:val="00AB3667"/>
    <w:rsid w:val="00AB4DCF"/>
    <w:rsid w:val="00AC2ECC"/>
    <w:rsid w:val="00AD0BA5"/>
    <w:rsid w:val="00AD3BEE"/>
    <w:rsid w:val="00AD3FA0"/>
    <w:rsid w:val="00AE01EB"/>
    <w:rsid w:val="00AE0AEA"/>
    <w:rsid w:val="00AE30EE"/>
    <w:rsid w:val="00AE61E7"/>
    <w:rsid w:val="00AE62B2"/>
    <w:rsid w:val="00AE731E"/>
    <w:rsid w:val="00AF3B2F"/>
    <w:rsid w:val="00AF6230"/>
    <w:rsid w:val="00B054A6"/>
    <w:rsid w:val="00B06137"/>
    <w:rsid w:val="00B1017F"/>
    <w:rsid w:val="00B1075B"/>
    <w:rsid w:val="00B161EB"/>
    <w:rsid w:val="00B16C82"/>
    <w:rsid w:val="00B239E5"/>
    <w:rsid w:val="00B25B43"/>
    <w:rsid w:val="00B25D31"/>
    <w:rsid w:val="00B26A41"/>
    <w:rsid w:val="00B27127"/>
    <w:rsid w:val="00B411B0"/>
    <w:rsid w:val="00B41B43"/>
    <w:rsid w:val="00B43171"/>
    <w:rsid w:val="00B444D2"/>
    <w:rsid w:val="00B50A18"/>
    <w:rsid w:val="00B51C0A"/>
    <w:rsid w:val="00B56132"/>
    <w:rsid w:val="00B62757"/>
    <w:rsid w:val="00B67599"/>
    <w:rsid w:val="00B704F3"/>
    <w:rsid w:val="00B74CE9"/>
    <w:rsid w:val="00B773D1"/>
    <w:rsid w:val="00B807D5"/>
    <w:rsid w:val="00B80BE5"/>
    <w:rsid w:val="00B8781B"/>
    <w:rsid w:val="00B87C67"/>
    <w:rsid w:val="00B96B0A"/>
    <w:rsid w:val="00BA0CD2"/>
    <w:rsid w:val="00BA1EF3"/>
    <w:rsid w:val="00BA6BD2"/>
    <w:rsid w:val="00BA6E0D"/>
    <w:rsid w:val="00BA787F"/>
    <w:rsid w:val="00BA7EEF"/>
    <w:rsid w:val="00BB270C"/>
    <w:rsid w:val="00BB79B1"/>
    <w:rsid w:val="00BC5B58"/>
    <w:rsid w:val="00BD4D18"/>
    <w:rsid w:val="00BD4E53"/>
    <w:rsid w:val="00BE0B09"/>
    <w:rsid w:val="00BE0F98"/>
    <w:rsid w:val="00BE6C1B"/>
    <w:rsid w:val="00BE747E"/>
    <w:rsid w:val="00BE7DEE"/>
    <w:rsid w:val="00BF51BF"/>
    <w:rsid w:val="00C012EF"/>
    <w:rsid w:val="00C0199E"/>
    <w:rsid w:val="00C01B16"/>
    <w:rsid w:val="00C01FB4"/>
    <w:rsid w:val="00C03CEA"/>
    <w:rsid w:val="00C0401E"/>
    <w:rsid w:val="00C14EF1"/>
    <w:rsid w:val="00C2184A"/>
    <w:rsid w:val="00C21FC2"/>
    <w:rsid w:val="00C269BB"/>
    <w:rsid w:val="00C2729D"/>
    <w:rsid w:val="00C3003E"/>
    <w:rsid w:val="00C32EF8"/>
    <w:rsid w:val="00C34BC4"/>
    <w:rsid w:val="00C42EAB"/>
    <w:rsid w:val="00C55DCC"/>
    <w:rsid w:val="00C5769C"/>
    <w:rsid w:val="00C62E2D"/>
    <w:rsid w:val="00C642A0"/>
    <w:rsid w:val="00C6616A"/>
    <w:rsid w:val="00C6710D"/>
    <w:rsid w:val="00C71CC1"/>
    <w:rsid w:val="00C720D9"/>
    <w:rsid w:val="00C72472"/>
    <w:rsid w:val="00C7291B"/>
    <w:rsid w:val="00C77FBD"/>
    <w:rsid w:val="00C77FE1"/>
    <w:rsid w:val="00C8108D"/>
    <w:rsid w:val="00C81294"/>
    <w:rsid w:val="00C816CF"/>
    <w:rsid w:val="00C827C5"/>
    <w:rsid w:val="00C86056"/>
    <w:rsid w:val="00C9250A"/>
    <w:rsid w:val="00C94552"/>
    <w:rsid w:val="00C953EF"/>
    <w:rsid w:val="00CA561C"/>
    <w:rsid w:val="00CA7DB5"/>
    <w:rsid w:val="00CB7A5A"/>
    <w:rsid w:val="00CB7A9A"/>
    <w:rsid w:val="00CB7ED6"/>
    <w:rsid w:val="00CC0416"/>
    <w:rsid w:val="00CC27B5"/>
    <w:rsid w:val="00CC39B3"/>
    <w:rsid w:val="00CC4601"/>
    <w:rsid w:val="00CC4850"/>
    <w:rsid w:val="00CC74C4"/>
    <w:rsid w:val="00CD0C38"/>
    <w:rsid w:val="00CD34A5"/>
    <w:rsid w:val="00CD3BC2"/>
    <w:rsid w:val="00CD6637"/>
    <w:rsid w:val="00CE0969"/>
    <w:rsid w:val="00CE775F"/>
    <w:rsid w:val="00CF197E"/>
    <w:rsid w:val="00CF57F3"/>
    <w:rsid w:val="00CF7CF6"/>
    <w:rsid w:val="00D0426D"/>
    <w:rsid w:val="00D06CA9"/>
    <w:rsid w:val="00D12036"/>
    <w:rsid w:val="00D15AF4"/>
    <w:rsid w:val="00D16E7D"/>
    <w:rsid w:val="00D2208A"/>
    <w:rsid w:val="00D24561"/>
    <w:rsid w:val="00D25AD0"/>
    <w:rsid w:val="00D2684F"/>
    <w:rsid w:val="00D26A62"/>
    <w:rsid w:val="00D2775E"/>
    <w:rsid w:val="00D37D14"/>
    <w:rsid w:val="00D37E54"/>
    <w:rsid w:val="00D40C96"/>
    <w:rsid w:val="00D43235"/>
    <w:rsid w:val="00D432D2"/>
    <w:rsid w:val="00D44737"/>
    <w:rsid w:val="00D53971"/>
    <w:rsid w:val="00D54D00"/>
    <w:rsid w:val="00D56C3D"/>
    <w:rsid w:val="00D600EC"/>
    <w:rsid w:val="00D6085F"/>
    <w:rsid w:val="00D65C25"/>
    <w:rsid w:val="00D727BC"/>
    <w:rsid w:val="00D72E80"/>
    <w:rsid w:val="00D74325"/>
    <w:rsid w:val="00D83317"/>
    <w:rsid w:val="00D8464E"/>
    <w:rsid w:val="00D84796"/>
    <w:rsid w:val="00D85329"/>
    <w:rsid w:val="00D87654"/>
    <w:rsid w:val="00D915D2"/>
    <w:rsid w:val="00D97230"/>
    <w:rsid w:val="00DA60A7"/>
    <w:rsid w:val="00DB03C8"/>
    <w:rsid w:val="00DB663E"/>
    <w:rsid w:val="00DC04F9"/>
    <w:rsid w:val="00DC16C1"/>
    <w:rsid w:val="00DC27A7"/>
    <w:rsid w:val="00DC32E3"/>
    <w:rsid w:val="00DC47C1"/>
    <w:rsid w:val="00DC73AF"/>
    <w:rsid w:val="00DD3027"/>
    <w:rsid w:val="00DD36BB"/>
    <w:rsid w:val="00DD5E7A"/>
    <w:rsid w:val="00DE1759"/>
    <w:rsid w:val="00DE32FB"/>
    <w:rsid w:val="00DE4459"/>
    <w:rsid w:val="00DE7162"/>
    <w:rsid w:val="00DF3531"/>
    <w:rsid w:val="00DF46C5"/>
    <w:rsid w:val="00DF62F1"/>
    <w:rsid w:val="00DF729A"/>
    <w:rsid w:val="00DF75A7"/>
    <w:rsid w:val="00E02465"/>
    <w:rsid w:val="00E027F7"/>
    <w:rsid w:val="00E02986"/>
    <w:rsid w:val="00E02D41"/>
    <w:rsid w:val="00E058FF"/>
    <w:rsid w:val="00E17C19"/>
    <w:rsid w:val="00E23AFD"/>
    <w:rsid w:val="00E303C5"/>
    <w:rsid w:val="00E3269F"/>
    <w:rsid w:val="00E331BB"/>
    <w:rsid w:val="00E35B0F"/>
    <w:rsid w:val="00E369A1"/>
    <w:rsid w:val="00E36E5E"/>
    <w:rsid w:val="00E403FB"/>
    <w:rsid w:val="00E42E4D"/>
    <w:rsid w:val="00E43421"/>
    <w:rsid w:val="00E469EB"/>
    <w:rsid w:val="00E50AEC"/>
    <w:rsid w:val="00E50D08"/>
    <w:rsid w:val="00E5247F"/>
    <w:rsid w:val="00E53D2A"/>
    <w:rsid w:val="00E60B20"/>
    <w:rsid w:val="00E617A6"/>
    <w:rsid w:val="00E70DF1"/>
    <w:rsid w:val="00E73B1B"/>
    <w:rsid w:val="00E74A4E"/>
    <w:rsid w:val="00E76D8A"/>
    <w:rsid w:val="00E82236"/>
    <w:rsid w:val="00E86DCE"/>
    <w:rsid w:val="00E92885"/>
    <w:rsid w:val="00E92C73"/>
    <w:rsid w:val="00E9521B"/>
    <w:rsid w:val="00E97B69"/>
    <w:rsid w:val="00E97B86"/>
    <w:rsid w:val="00E97D78"/>
    <w:rsid w:val="00EA16C8"/>
    <w:rsid w:val="00EA57F0"/>
    <w:rsid w:val="00EC1924"/>
    <w:rsid w:val="00EC5687"/>
    <w:rsid w:val="00EC7AD7"/>
    <w:rsid w:val="00ED1AB3"/>
    <w:rsid w:val="00EE453B"/>
    <w:rsid w:val="00EE5A14"/>
    <w:rsid w:val="00EE7C69"/>
    <w:rsid w:val="00EF23D3"/>
    <w:rsid w:val="00F12571"/>
    <w:rsid w:val="00F12786"/>
    <w:rsid w:val="00F15FA7"/>
    <w:rsid w:val="00F203FA"/>
    <w:rsid w:val="00F20E89"/>
    <w:rsid w:val="00F23D7A"/>
    <w:rsid w:val="00F24B57"/>
    <w:rsid w:val="00F3785C"/>
    <w:rsid w:val="00F410F6"/>
    <w:rsid w:val="00F43845"/>
    <w:rsid w:val="00F46500"/>
    <w:rsid w:val="00F54A7C"/>
    <w:rsid w:val="00F6068F"/>
    <w:rsid w:val="00F617FC"/>
    <w:rsid w:val="00F646E6"/>
    <w:rsid w:val="00F66FA6"/>
    <w:rsid w:val="00F74082"/>
    <w:rsid w:val="00F863BD"/>
    <w:rsid w:val="00F87D76"/>
    <w:rsid w:val="00F92AAE"/>
    <w:rsid w:val="00FA3F4F"/>
    <w:rsid w:val="00FA7459"/>
    <w:rsid w:val="00FB2953"/>
    <w:rsid w:val="00FC2CC3"/>
    <w:rsid w:val="00FD140B"/>
    <w:rsid w:val="00FD3CEF"/>
    <w:rsid w:val="00FD7102"/>
    <w:rsid w:val="00FD7655"/>
    <w:rsid w:val="00FE0CBC"/>
    <w:rsid w:val="00FE2BF1"/>
    <w:rsid w:val="00FF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97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463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21A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0E21AF"/>
  </w:style>
  <w:style w:type="paragraph" w:styleId="Sidfot">
    <w:name w:val="footer"/>
    <w:basedOn w:val="Normal"/>
    <w:link w:val="SidfotChar"/>
    <w:uiPriority w:val="99"/>
    <w:unhideWhenUsed/>
    <w:rsid w:val="000E21A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0E21AF"/>
  </w:style>
  <w:style w:type="character" w:customStyle="1" w:styleId="Rubrik1Char">
    <w:name w:val="Rubrik 1 Char"/>
    <w:basedOn w:val="Standardstycketeckensnitt"/>
    <w:link w:val="Rubrik1"/>
    <w:uiPriority w:val="9"/>
    <w:rsid w:val="00D97230"/>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09577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uiPriority w:val="11"/>
    <w:rsid w:val="0009577A"/>
    <w:rPr>
      <w:rFonts w:asciiTheme="majorHAnsi" w:eastAsiaTheme="majorEastAsia" w:hAnsiTheme="majorHAnsi" w:cstheme="majorBidi"/>
      <w:i/>
      <w:iCs/>
      <w:color w:val="4F81BD" w:themeColor="accent1"/>
      <w:spacing w:val="15"/>
      <w:sz w:val="24"/>
    </w:rPr>
  </w:style>
  <w:style w:type="character" w:styleId="Kommentarsreferens">
    <w:name w:val="annotation reference"/>
    <w:basedOn w:val="Standardstycketeckensnitt"/>
    <w:uiPriority w:val="99"/>
    <w:semiHidden/>
    <w:unhideWhenUsed/>
    <w:rsid w:val="009B4902"/>
    <w:rPr>
      <w:sz w:val="16"/>
      <w:szCs w:val="16"/>
    </w:rPr>
  </w:style>
  <w:style w:type="paragraph" w:styleId="Kommentarer">
    <w:name w:val="annotation text"/>
    <w:basedOn w:val="Normal"/>
    <w:link w:val="KommentarerChar"/>
    <w:uiPriority w:val="99"/>
    <w:semiHidden/>
    <w:unhideWhenUsed/>
    <w:rsid w:val="009B4902"/>
    <w:pPr>
      <w:spacing w:line="240" w:lineRule="auto"/>
    </w:pPr>
    <w:rPr>
      <w:sz w:val="20"/>
      <w:szCs w:val="20"/>
    </w:rPr>
  </w:style>
  <w:style w:type="character" w:customStyle="1" w:styleId="KommentarerChar">
    <w:name w:val="Kommentarer Char"/>
    <w:basedOn w:val="Standardstycketeckensnitt"/>
    <w:link w:val="Kommentarer"/>
    <w:uiPriority w:val="99"/>
    <w:semiHidden/>
    <w:rsid w:val="009B4902"/>
    <w:rPr>
      <w:sz w:val="20"/>
      <w:szCs w:val="20"/>
    </w:rPr>
  </w:style>
  <w:style w:type="paragraph" w:styleId="Kommentarsmne">
    <w:name w:val="annotation subject"/>
    <w:basedOn w:val="Kommentarer"/>
    <w:next w:val="Kommentarer"/>
    <w:link w:val="KommentarsmneChar"/>
    <w:uiPriority w:val="99"/>
    <w:semiHidden/>
    <w:unhideWhenUsed/>
    <w:rsid w:val="009B4902"/>
    <w:rPr>
      <w:b/>
      <w:bCs/>
    </w:rPr>
  </w:style>
  <w:style w:type="character" w:customStyle="1" w:styleId="KommentarsmneChar">
    <w:name w:val="Kommentarsämne Char"/>
    <w:basedOn w:val="KommentarerChar"/>
    <w:link w:val="Kommentarsmne"/>
    <w:uiPriority w:val="99"/>
    <w:semiHidden/>
    <w:rsid w:val="009B4902"/>
    <w:rPr>
      <w:b/>
      <w:bCs/>
      <w:sz w:val="20"/>
      <w:szCs w:val="20"/>
    </w:rPr>
  </w:style>
  <w:style w:type="paragraph" w:styleId="Ballongtext">
    <w:name w:val="Balloon Text"/>
    <w:basedOn w:val="Normal"/>
    <w:link w:val="BallongtextChar"/>
    <w:uiPriority w:val="99"/>
    <w:semiHidden/>
    <w:unhideWhenUsed/>
    <w:rsid w:val="009B49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4902"/>
    <w:rPr>
      <w:rFonts w:ascii="Tahoma" w:hAnsi="Tahoma" w:cs="Tahoma"/>
      <w:sz w:val="16"/>
      <w:szCs w:val="16"/>
    </w:rPr>
  </w:style>
  <w:style w:type="table" w:styleId="Tabellrutnt">
    <w:name w:val="Table Grid"/>
    <w:basedOn w:val="Normaltabell"/>
    <w:uiPriority w:val="59"/>
    <w:rsid w:val="00791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1">
    <w:name w:val="Light Shading Accent 1"/>
    <w:basedOn w:val="Normaltabell"/>
    <w:uiPriority w:val="60"/>
    <w:rsid w:val="007911E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llanmrkskuggning2-dekorfrg1">
    <w:name w:val="Medium Shading 2 Accent 1"/>
    <w:basedOn w:val="Normaltabell"/>
    <w:uiPriority w:val="64"/>
    <w:rsid w:val="007911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stycke">
    <w:name w:val="List Paragraph"/>
    <w:basedOn w:val="Normal"/>
    <w:uiPriority w:val="34"/>
    <w:qFormat/>
    <w:rsid w:val="0072071B"/>
    <w:pPr>
      <w:ind w:left="720"/>
      <w:contextualSpacing/>
    </w:pPr>
  </w:style>
  <w:style w:type="paragraph" w:styleId="Fotnotstext">
    <w:name w:val="footnote text"/>
    <w:basedOn w:val="Normal"/>
    <w:link w:val="FotnotstextChar"/>
    <w:uiPriority w:val="99"/>
    <w:semiHidden/>
    <w:unhideWhenUsed/>
    <w:rsid w:val="00093DE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93DE7"/>
    <w:rPr>
      <w:sz w:val="20"/>
      <w:szCs w:val="20"/>
    </w:rPr>
  </w:style>
  <w:style w:type="character" w:styleId="Fotnotsreferens">
    <w:name w:val="footnote reference"/>
    <w:basedOn w:val="Standardstycketeckensnitt"/>
    <w:uiPriority w:val="99"/>
    <w:semiHidden/>
    <w:unhideWhenUsed/>
    <w:rsid w:val="00093DE7"/>
    <w:rPr>
      <w:vertAlign w:val="superscript"/>
    </w:rPr>
  </w:style>
  <w:style w:type="character" w:styleId="Hyperlnk">
    <w:name w:val="Hyperlink"/>
    <w:basedOn w:val="Standardstycketeckensnitt"/>
    <w:uiPriority w:val="99"/>
    <w:unhideWhenUsed/>
    <w:rsid w:val="00216795"/>
    <w:rPr>
      <w:color w:val="0000FF" w:themeColor="hyperlink"/>
      <w:u w:val="single"/>
    </w:rPr>
  </w:style>
  <w:style w:type="character" w:styleId="Diskretbetoning">
    <w:name w:val="Subtle Emphasis"/>
    <w:basedOn w:val="Standardstycketeckensnitt"/>
    <w:uiPriority w:val="19"/>
    <w:qFormat/>
    <w:rsid w:val="00133544"/>
    <w:rPr>
      <w:i/>
      <w:iCs/>
      <w:color w:val="808080" w:themeColor="text1" w:themeTint="7F"/>
    </w:rPr>
  </w:style>
  <w:style w:type="character" w:styleId="Betoning">
    <w:name w:val="Emphasis"/>
    <w:basedOn w:val="Standardstycketeckensnitt"/>
    <w:uiPriority w:val="20"/>
    <w:qFormat/>
    <w:rsid w:val="00133544"/>
    <w:rPr>
      <w:i/>
      <w:iCs/>
    </w:rPr>
  </w:style>
  <w:style w:type="character" w:styleId="Starkbetoning">
    <w:name w:val="Intense Emphasis"/>
    <w:basedOn w:val="Standardstycketeckensnitt"/>
    <w:uiPriority w:val="21"/>
    <w:qFormat/>
    <w:rsid w:val="00133544"/>
    <w:rPr>
      <w:b/>
      <w:bCs/>
      <w:i/>
      <w:iCs/>
      <w:color w:val="4F81BD" w:themeColor="accent1"/>
    </w:rPr>
  </w:style>
  <w:style w:type="character" w:customStyle="1" w:styleId="Rubrik2Char">
    <w:name w:val="Rubrik 2 Char"/>
    <w:basedOn w:val="Standardstycketeckensnitt"/>
    <w:link w:val="Rubrik2"/>
    <w:uiPriority w:val="9"/>
    <w:rsid w:val="006463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97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463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21A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0E21AF"/>
  </w:style>
  <w:style w:type="paragraph" w:styleId="Sidfot">
    <w:name w:val="footer"/>
    <w:basedOn w:val="Normal"/>
    <w:link w:val="SidfotChar"/>
    <w:uiPriority w:val="99"/>
    <w:unhideWhenUsed/>
    <w:rsid w:val="000E21A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0E21AF"/>
  </w:style>
  <w:style w:type="character" w:customStyle="1" w:styleId="Rubrik1Char">
    <w:name w:val="Rubrik 1 Char"/>
    <w:basedOn w:val="Standardstycketeckensnitt"/>
    <w:link w:val="Rubrik1"/>
    <w:uiPriority w:val="9"/>
    <w:rsid w:val="00D97230"/>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09577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uiPriority w:val="11"/>
    <w:rsid w:val="0009577A"/>
    <w:rPr>
      <w:rFonts w:asciiTheme="majorHAnsi" w:eastAsiaTheme="majorEastAsia" w:hAnsiTheme="majorHAnsi" w:cstheme="majorBidi"/>
      <w:i/>
      <w:iCs/>
      <w:color w:val="4F81BD" w:themeColor="accent1"/>
      <w:spacing w:val="15"/>
      <w:sz w:val="24"/>
    </w:rPr>
  </w:style>
  <w:style w:type="character" w:styleId="Kommentarsreferens">
    <w:name w:val="annotation reference"/>
    <w:basedOn w:val="Standardstycketeckensnitt"/>
    <w:uiPriority w:val="99"/>
    <w:semiHidden/>
    <w:unhideWhenUsed/>
    <w:rsid w:val="009B4902"/>
    <w:rPr>
      <w:sz w:val="16"/>
      <w:szCs w:val="16"/>
    </w:rPr>
  </w:style>
  <w:style w:type="paragraph" w:styleId="Kommentarer">
    <w:name w:val="annotation text"/>
    <w:basedOn w:val="Normal"/>
    <w:link w:val="KommentarerChar"/>
    <w:uiPriority w:val="99"/>
    <w:semiHidden/>
    <w:unhideWhenUsed/>
    <w:rsid w:val="009B4902"/>
    <w:pPr>
      <w:spacing w:line="240" w:lineRule="auto"/>
    </w:pPr>
    <w:rPr>
      <w:sz w:val="20"/>
      <w:szCs w:val="20"/>
    </w:rPr>
  </w:style>
  <w:style w:type="character" w:customStyle="1" w:styleId="KommentarerChar">
    <w:name w:val="Kommentarer Char"/>
    <w:basedOn w:val="Standardstycketeckensnitt"/>
    <w:link w:val="Kommentarer"/>
    <w:uiPriority w:val="99"/>
    <w:semiHidden/>
    <w:rsid w:val="009B4902"/>
    <w:rPr>
      <w:sz w:val="20"/>
      <w:szCs w:val="20"/>
    </w:rPr>
  </w:style>
  <w:style w:type="paragraph" w:styleId="Kommentarsmne">
    <w:name w:val="annotation subject"/>
    <w:basedOn w:val="Kommentarer"/>
    <w:next w:val="Kommentarer"/>
    <w:link w:val="KommentarsmneChar"/>
    <w:uiPriority w:val="99"/>
    <w:semiHidden/>
    <w:unhideWhenUsed/>
    <w:rsid w:val="009B4902"/>
    <w:rPr>
      <w:b/>
      <w:bCs/>
    </w:rPr>
  </w:style>
  <w:style w:type="character" w:customStyle="1" w:styleId="KommentarsmneChar">
    <w:name w:val="Kommentarsämne Char"/>
    <w:basedOn w:val="KommentarerChar"/>
    <w:link w:val="Kommentarsmne"/>
    <w:uiPriority w:val="99"/>
    <w:semiHidden/>
    <w:rsid w:val="009B4902"/>
    <w:rPr>
      <w:b/>
      <w:bCs/>
      <w:sz w:val="20"/>
      <w:szCs w:val="20"/>
    </w:rPr>
  </w:style>
  <w:style w:type="paragraph" w:styleId="Ballongtext">
    <w:name w:val="Balloon Text"/>
    <w:basedOn w:val="Normal"/>
    <w:link w:val="BallongtextChar"/>
    <w:uiPriority w:val="99"/>
    <w:semiHidden/>
    <w:unhideWhenUsed/>
    <w:rsid w:val="009B49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4902"/>
    <w:rPr>
      <w:rFonts w:ascii="Tahoma" w:hAnsi="Tahoma" w:cs="Tahoma"/>
      <w:sz w:val="16"/>
      <w:szCs w:val="16"/>
    </w:rPr>
  </w:style>
  <w:style w:type="table" w:styleId="Tabellrutnt">
    <w:name w:val="Table Grid"/>
    <w:basedOn w:val="Normaltabell"/>
    <w:uiPriority w:val="59"/>
    <w:rsid w:val="00791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1">
    <w:name w:val="Light Shading Accent 1"/>
    <w:basedOn w:val="Normaltabell"/>
    <w:uiPriority w:val="60"/>
    <w:rsid w:val="007911E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llanmrkskuggning2-dekorfrg1">
    <w:name w:val="Medium Shading 2 Accent 1"/>
    <w:basedOn w:val="Normaltabell"/>
    <w:uiPriority w:val="64"/>
    <w:rsid w:val="007911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stycke">
    <w:name w:val="List Paragraph"/>
    <w:basedOn w:val="Normal"/>
    <w:uiPriority w:val="34"/>
    <w:qFormat/>
    <w:rsid w:val="0072071B"/>
    <w:pPr>
      <w:ind w:left="720"/>
      <w:contextualSpacing/>
    </w:pPr>
  </w:style>
  <w:style w:type="paragraph" w:styleId="Fotnotstext">
    <w:name w:val="footnote text"/>
    <w:basedOn w:val="Normal"/>
    <w:link w:val="FotnotstextChar"/>
    <w:uiPriority w:val="99"/>
    <w:semiHidden/>
    <w:unhideWhenUsed/>
    <w:rsid w:val="00093DE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93DE7"/>
    <w:rPr>
      <w:sz w:val="20"/>
      <w:szCs w:val="20"/>
    </w:rPr>
  </w:style>
  <w:style w:type="character" w:styleId="Fotnotsreferens">
    <w:name w:val="footnote reference"/>
    <w:basedOn w:val="Standardstycketeckensnitt"/>
    <w:uiPriority w:val="99"/>
    <w:semiHidden/>
    <w:unhideWhenUsed/>
    <w:rsid w:val="00093DE7"/>
    <w:rPr>
      <w:vertAlign w:val="superscript"/>
    </w:rPr>
  </w:style>
  <w:style w:type="character" w:styleId="Hyperlnk">
    <w:name w:val="Hyperlink"/>
    <w:basedOn w:val="Standardstycketeckensnitt"/>
    <w:uiPriority w:val="99"/>
    <w:unhideWhenUsed/>
    <w:rsid w:val="00216795"/>
    <w:rPr>
      <w:color w:val="0000FF" w:themeColor="hyperlink"/>
      <w:u w:val="single"/>
    </w:rPr>
  </w:style>
  <w:style w:type="character" w:styleId="Diskretbetoning">
    <w:name w:val="Subtle Emphasis"/>
    <w:basedOn w:val="Standardstycketeckensnitt"/>
    <w:uiPriority w:val="19"/>
    <w:qFormat/>
    <w:rsid w:val="00133544"/>
    <w:rPr>
      <w:i/>
      <w:iCs/>
      <w:color w:val="808080" w:themeColor="text1" w:themeTint="7F"/>
    </w:rPr>
  </w:style>
  <w:style w:type="character" w:styleId="Betoning">
    <w:name w:val="Emphasis"/>
    <w:basedOn w:val="Standardstycketeckensnitt"/>
    <w:uiPriority w:val="20"/>
    <w:qFormat/>
    <w:rsid w:val="00133544"/>
    <w:rPr>
      <w:i/>
      <w:iCs/>
    </w:rPr>
  </w:style>
  <w:style w:type="character" w:styleId="Starkbetoning">
    <w:name w:val="Intense Emphasis"/>
    <w:basedOn w:val="Standardstycketeckensnitt"/>
    <w:uiPriority w:val="21"/>
    <w:qFormat/>
    <w:rsid w:val="00133544"/>
    <w:rPr>
      <w:b/>
      <w:bCs/>
      <w:i/>
      <w:iCs/>
      <w:color w:val="4F81BD" w:themeColor="accent1"/>
    </w:rPr>
  </w:style>
  <w:style w:type="character" w:customStyle="1" w:styleId="Rubrik2Char">
    <w:name w:val="Rubrik 2 Char"/>
    <w:basedOn w:val="Standardstycketeckensnitt"/>
    <w:link w:val="Rubrik2"/>
    <w:uiPriority w:val="9"/>
    <w:rsid w:val="006463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9607">
      <w:bodyDiv w:val="1"/>
      <w:marLeft w:val="0"/>
      <w:marRight w:val="0"/>
      <w:marTop w:val="0"/>
      <w:marBottom w:val="0"/>
      <w:divBdr>
        <w:top w:val="none" w:sz="0" w:space="0" w:color="auto"/>
        <w:left w:val="none" w:sz="0" w:space="0" w:color="auto"/>
        <w:bottom w:val="none" w:sz="0" w:space="0" w:color="auto"/>
        <w:right w:val="none" w:sz="0" w:space="0" w:color="auto"/>
      </w:divBdr>
    </w:div>
    <w:div w:id="20062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b.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verigebygger.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gsindustrierna.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C193-7431-4B2E-B512-2F299D5A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12569</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2014-09-18T10:46:00Z</dcterms:created>
  <dcterms:modified xsi:type="dcterms:W3CDTF">2014-09-18T10:46:00Z</dcterms:modified>
</cp:coreProperties>
</file>