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BC" w:rsidRDefault="006A30BC" w:rsidP="00E75226">
      <w:pPr>
        <w:jc w:val="both"/>
        <w:rPr>
          <w:rFonts w:ascii="Trebuchet MS" w:hAnsi="Trebuchet MS"/>
          <w:b/>
          <w:sz w:val="28"/>
          <w:szCs w:val="28"/>
          <w:lang w:val="en-GB"/>
        </w:rPr>
      </w:pPr>
    </w:p>
    <w:p w:rsidR="00E01B2F" w:rsidRDefault="00E01B2F" w:rsidP="00E75226">
      <w:pPr>
        <w:jc w:val="both"/>
        <w:rPr>
          <w:rFonts w:ascii="Trebuchet MS" w:hAnsi="Trebuchet MS"/>
          <w:b/>
          <w:sz w:val="28"/>
          <w:szCs w:val="28"/>
          <w:lang w:val="en-GB"/>
        </w:rPr>
      </w:pPr>
    </w:p>
    <w:p w:rsidR="005A7157" w:rsidRPr="005A7157" w:rsidRDefault="00CB6492" w:rsidP="00E75226">
      <w:pPr>
        <w:jc w:val="both"/>
        <w:rPr>
          <w:rFonts w:ascii="Trebuchet MS" w:hAnsi="Trebuchet MS"/>
          <w:b/>
          <w:lang w:val="en-GB"/>
        </w:rPr>
      </w:pPr>
      <w:r w:rsidRPr="00855678">
        <w:rPr>
          <w:rFonts w:ascii="Trebuchet MS" w:hAnsi="Trebuchet MS"/>
          <w:b/>
          <w:sz w:val="28"/>
          <w:szCs w:val="28"/>
          <w:lang w:val="en-GB"/>
        </w:rPr>
        <w:t>Flowrox Scaling Watch</w:t>
      </w:r>
      <w:r w:rsidR="00246319" w:rsidRPr="00855678">
        <w:rPr>
          <w:rFonts w:ascii="Trebuchet MS" w:hAnsi="Trebuchet MS"/>
          <w:b/>
          <w:sz w:val="28"/>
          <w:szCs w:val="28"/>
          <w:lang w:val="en-GB"/>
        </w:rPr>
        <w:t xml:space="preserve"> </w:t>
      </w:r>
      <w:r w:rsidR="003C70B0" w:rsidRPr="00855678">
        <w:rPr>
          <w:rFonts w:ascii="Trebuchet MS" w:hAnsi="Trebuchet MS"/>
          <w:b/>
          <w:sz w:val="28"/>
          <w:szCs w:val="28"/>
          <w:lang w:val="en-GB"/>
        </w:rPr>
        <w:t>–</w:t>
      </w:r>
      <w:r w:rsidR="00855678" w:rsidRPr="00855678">
        <w:rPr>
          <w:rFonts w:ascii="Trebuchet MS" w:hAnsi="Trebuchet MS"/>
          <w:b/>
          <w:sz w:val="28"/>
          <w:szCs w:val="28"/>
          <w:lang w:val="en-GB"/>
        </w:rPr>
        <w:t xml:space="preserve"> </w:t>
      </w:r>
      <w:r w:rsidR="003C70B0" w:rsidRPr="00855678">
        <w:rPr>
          <w:rFonts w:ascii="Trebuchet MS" w:hAnsi="Trebuchet MS"/>
          <w:b/>
          <w:sz w:val="28"/>
          <w:szCs w:val="28"/>
          <w:lang w:val="en-GB"/>
        </w:rPr>
        <w:t xml:space="preserve">innovation </w:t>
      </w:r>
      <w:r w:rsidR="00EE74ED">
        <w:rPr>
          <w:rFonts w:ascii="Trebuchet MS" w:hAnsi="Trebuchet MS"/>
          <w:b/>
          <w:sz w:val="28"/>
          <w:szCs w:val="28"/>
          <w:lang w:val="en-GB"/>
        </w:rPr>
        <w:t xml:space="preserve">for imaging pipe scaling </w:t>
      </w:r>
    </w:p>
    <w:p w:rsidR="00CD4B31" w:rsidRDefault="00CD4B31" w:rsidP="00E75226">
      <w:pPr>
        <w:jc w:val="both"/>
        <w:rPr>
          <w:rFonts w:ascii="Trebuchet MS" w:hAnsi="Trebuchet MS"/>
          <w:lang w:val="en-US"/>
        </w:rPr>
      </w:pPr>
    </w:p>
    <w:p w:rsidR="00193324" w:rsidRPr="005A7157" w:rsidRDefault="00193324" w:rsidP="00E75226">
      <w:pPr>
        <w:jc w:val="both"/>
        <w:rPr>
          <w:rFonts w:ascii="Trebuchet MS" w:hAnsi="Trebuchet MS"/>
          <w:lang w:val="en-US"/>
        </w:rPr>
      </w:pPr>
      <w:r w:rsidRPr="005A7157">
        <w:rPr>
          <w:rFonts w:ascii="Trebuchet MS" w:hAnsi="Trebuchet MS"/>
          <w:lang w:val="en-US"/>
        </w:rPr>
        <w:t xml:space="preserve">Flowrox Scaling Watch is an accurate solution for online, pipe scaling or fouling measurement. The system monitors scaling thickness and growth online and calculates free volume index, which informs how much free space still exists in a process pipe. </w:t>
      </w:r>
    </w:p>
    <w:p w:rsidR="00CA5BFB" w:rsidRPr="005A7157" w:rsidRDefault="00CB6492" w:rsidP="00E75226">
      <w:pPr>
        <w:jc w:val="both"/>
        <w:rPr>
          <w:rFonts w:ascii="Trebuchet MS" w:hAnsi="Trebuchet MS"/>
          <w:lang w:val="en-GB"/>
        </w:rPr>
      </w:pPr>
      <w:r w:rsidRPr="005A7157">
        <w:rPr>
          <w:rFonts w:ascii="Trebuchet MS" w:hAnsi="Trebuchet MS"/>
          <w:lang w:val="en-GB"/>
        </w:rPr>
        <w:t xml:space="preserve">Flowrox Scaling Watch was launched </w:t>
      </w:r>
      <w:r w:rsidR="00193324" w:rsidRPr="005A7157">
        <w:rPr>
          <w:rFonts w:ascii="Trebuchet MS" w:hAnsi="Trebuchet MS"/>
          <w:lang w:val="en-GB"/>
        </w:rPr>
        <w:t>on</w:t>
      </w:r>
      <w:r w:rsidR="003C70B0" w:rsidRPr="005A7157">
        <w:rPr>
          <w:rFonts w:ascii="Trebuchet MS" w:hAnsi="Trebuchet MS"/>
          <w:lang w:val="en-GB"/>
        </w:rPr>
        <w:t xml:space="preserve"> </w:t>
      </w:r>
      <w:r w:rsidRPr="005A7157">
        <w:rPr>
          <w:rFonts w:ascii="Trebuchet MS" w:hAnsi="Trebuchet MS"/>
          <w:lang w:val="en-GB"/>
        </w:rPr>
        <w:t xml:space="preserve">Tuesday 17th June 2014 during the </w:t>
      </w:r>
      <w:r w:rsidR="00193324" w:rsidRPr="005A7157">
        <w:rPr>
          <w:rFonts w:ascii="Trebuchet MS" w:hAnsi="Trebuchet MS"/>
          <w:lang w:val="en-GB"/>
        </w:rPr>
        <w:t xml:space="preserve">Flowrox </w:t>
      </w:r>
      <w:r w:rsidRPr="005A7157">
        <w:rPr>
          <w:rFonts w:ascii="Trebuchet MS" w:hAnsi="Trebuchet MS"/>
          <w:lang w:val="en-GB"/>
        </w:rPr>
        <w:t>Sales Conference. Almost 100 Flowrox representatives and employees from all over the world were gathered to Holiday Club Saimaa.</w:t>
      </w:r>
      <w:r w:rsidR="00AC5015" w:rsidRPr="005A7157">
        <w:rPr>
          <w:rFonts w:ascii="Trebuchet MS" w:hAnsi="Trebuchet MS"/>
          <w:lang w:val="en-GB"/>
        </w:rPr>
        <w:t xml:space="preserve"> During the </w:t>
      </w:r>
      <w:r w:rsidR="00855678">
        <w:rPr>
          <w:rFonts w:ascii="Trebuchet MS" w:hAnsi="Trebuchet MS"/>
          <w:lang w:val="en-GB"/>
        </w:rPr>
        <w:t>day</w:t>
      </w:r>
      <w:r w:rsidR="00AC5015" w:rsidRPr="005A7157">
        <w:rPr>
          <w:rFonts w:ascii="Trebuchet MS" w:hAnsi="Trebuchet MS"/>
          <w:lang w:val="en-GB"/>
        </w:rPr>
        <w:t xml:space="preserve"> </w:t>
      </w:r>
      <w:r w:rsidR="003C70B0" w:rsidRPr="005A7157">
        <w:rPr>
          <w:rFonts w:ascii="Trebuchet MS" w:hAnsi="Trebuchet MS"/>
          <w:lang w:val="en-GB"/>
        </w:rPr>
        <w:t xml:space="preserve">benefits of the new product </w:t>
      </w:r>
      <w:r w:rsidR="00193324" w:rsidRPr="005A7157">
        <w:rPr>
          <w:rFonts w:ascii="Trebuchet MS" w:hAnsi="Trebuchet MS"/>
          <w:lang w:val="en-GB"/>
        </w:rPr>
        <w:t xml:space="preserve">were introduced </w:t>
      </w:r>
      <w:r w:rsidR="003C70B0" w:rsidRPr="005A7157">
        <w:rPr>
          <w:rFonts w:ascii="Trebuchet MS" w:hAnsi="Trebuchet MS"/>
          <w:lang w:val="en-GB"/>
        </w:rPr>
        <w:t xml:space="preserve">and </w:t>
      </w:r>
      <w:r w:rsidR="00193324" w:rsidRPr="005A7157">
        <w:rPr>
          <w:rFonts w:ascii="Trebuchet MS" w:hAnsi="Trebuchet MS"/>
          <w:lang w:val="en-GB"/>
        </w:rPr>
        <w:t xml:space="preserve">user </w:t>
      </w:r>
      <w:r w:rsidR="00855678">
        <w:rPr>
          <w:rFonts w:ascii="Trebuchet MS" w:hAnsi="Trebuchet MS"/>
          <w:lang w:val="en-GB"/>
        </w:rPr>
        <w:t>experiences of</w:t>
      </w:r>
      <w:r w:rsidR="00193324" w:rsidRPr="005A7157">
        <w:rPr>
          <w:rFonts w:ascii="Trebuchet MS" w:hAnsi="Trebuchet MS"/>
          <w:lang w:val="en-GB"/>
        </w:rPr>
        <w:t xml:space="preserve"> installed </w:t>
      </w:r>
      <w:r w:rsidR="00FE117C">
        <w:rPr>
          <w:rFonts w:ascii="Trebuchet MS" w:hAnsi="Trebuchet MS"/>
          <w:lang w:val="en-GB"/>
        </w:rPr>
        <w:t>systems</w:t>
      </w:r>
      <w:r w:rsidR="003C70B0" w:rsidRPr="005A7157">
        <w:rPr>
          <w:rFonts w:ascii="Trebuchet MS" w:hAnsi="Trebuchet MS"/>
          <w:lang w:val="en-GB"/>
        </w:rPr>
        <w:t xml:space="preserve"> </w:t>
      </w:r>
      <w:r w:rsidR="00284D64" w:rsidRPr="005A7157">
        <w:rPr>
          <w:rFonts w:ascii="Trebuchet MS" w:hAnsi="Trebuchet MS"/>
          <w:lang w:val="en-GB"/>
        </w:rPr>
        <w:t xml:space="preserve">were </w:t>
      </w:r>
      <w:r w:rsidR="00855678">
        <w:rPr>
          <w:rFonts w:ascii="Trebuchet MS" w:hAnsi="Trebuchet MS"/>
          <w:lang w:val="en-GB"/>
        </w:rPr>
        <w:t>shared</w:t>
      </w:r>
      <w:r w:rsidR="00AC5015" w:rsidRPr="005A7157">
        <w:rPr>
          <w:rFonts w:ascii="Trebuchet MS" w:hAnsi="Trebuchet MS"/>
          <w:lang w:val="en-GB"/>
        </w:rPr>
        <w:t>.</w:t>
      </w:r>
    </w:p>
    <w:p w:rsidR="002657F3" w:rsidRPr="002657F3" w:rsidRDefault="008E6BCC" w:rsidP="00E75226">
      <w:pPr>
        <w:jc w:val="both"/>
        <w:rPr>
          <w:rFonts w:ascii="Trebuchet MS" w:hAnsi="Trebuchet MS"/>
          <w:lang w:val="en-GB"/>
        </w:rPr>
      </w:pPr>
      <w:r w:rsidRPr="005A7157">
        <w:rPr>
          <w:rFonts w:ascii="Trebuchet MS" w:hAnsi="Trebuchet MS"/>
          <w:lang w:val="en-GB"/>
        </w:rPr>
        <w:t>In addition to Finland</w:t>
      </w:r>
      <w:r w:rsidR="00855678">
        <w:rPr>
          <w:rFonts w:ascii="Trebuchet MS" w:hAnsi="Trebuchet MS"/>
          <w:lang w:val="en-GB"/>
        </w:rPr>
        <w:t>,</w:t>
      </w:r>
      <w:r w:rsidRPr="005A7157">
        <w:rPr>
          <w:rFonts w:ascii="Trebuchet MS" w:hAnsi="Trebuchet MS"/>
          <w:lang w:val="en-GB"/>
        </w:rPr>
        <w:t xml:space="preserve"> the new product has been pre-marketed in USA, South Africa and Australia. The latest</w:t>
      </w:r>
      <w:r w:rsidR="00AC5015" w:rsidRPr="005A7157">
        <w:rPr>
          <w:rFonts w:ascii="Trebuchet MS" w:hAnsi="Trebuchet MS"/>
          <w:lang w:val="en-GB"/>
        </w:rPr>
        <w:t xml:space="preserve"> Flowrox Scaling Watch</w:t>
      </w:r>
      <w:r w:rsidR="00F54445" w:rsidRPr="005A7157">
        <w:rPr>
          <w:rFonts w:ascii="Trebuchet MS" w:hAnsi="Trebuchet MS"/>
          <w:lang w:val="en-GB"/>
        </w:rPr>
        <w:t xml:space="preserve"> sold in Finland </w:t>
      </w:r>
      <w:r w:rsidRPr="005A7157">
        <w:rPr>
          <w:rFonts w:ascii="Trebuchet MS" w:hAnsi="Trebuchet MS"/>
          <w:lang w:val="en-GB"/>
        </w:rPr>
        <w:t>was</w:t>
      </w:r>
      <w:r w:rsidR="00F54445" w:rsidRPr="005A7157">
        <w:rPr>
          <w:rFonts w:ascii="Trebuchet MS" w:hAnsi="Trebuchet MS"/>
          <w:lang w:val="en-GB"/>
        </w:rPr>
        <w:t xml:space="preserve"> assembled</w:t>
      </w:r>
      <w:r w:rsidR="00AC5015" w:rsidRPr="005A7157">
        <w:rPr>
          <w:rFonts w:ascii="Trebuchet MS" w:hAnsi="Trebuchet MS"/>
          <w:lang w:val="en-GB"/>
        </w:rPr>
        <w:t xml:space="preserve"> </w:t>
      </w:r>
      <w:r w:rsidR="00193324" w:rsidRPr="005A7157">
        <w:rPr>
          <w:rFonts w:ascii="Trebuchet MS" w:hAnsi="Trebuchet MS"/>
          <w:lang w:val="en-GB"/>
        </w:rPr>
        <w:t>to the customer production line just before the sales conference</w:t>
      </w:r>
      <w:r w:rsidR="00AA71C3" w:rsidRPr="005A7157">
        <w:rPr>
          <w:rFonts w:ascii="Trebuchet MS" w:hAnsi="Trebuchet MS"/>
          <w:lang w:val="en-GB"/>
        </w:rPr>
        <w:t>. Flowrox representative in this sales case</w:t>
      </w:r>
      <w:r w:rsidR="00284D64" w:rsidRPr="005A7157">
        <w:rPr>
          <w:rFonts w:ascii="Trebuchet MS" w:hAnsi="Trebuchet MS"/>
          <w:lang w:val="en-GB"/>
        </w:rPr>
        <w:t xml:space="preserve"> was H</w:t>
      </w:r>
      <w:r w:rsidR="00AA71C3" w:rsidRPr="005A7157">
        <w:rPr>
          <w:rFonts w:ascii="Trebuchet MS" w:hAnsi="Trebuchet MS"/>
          <w:lang w:val="en-GB"/>
        </w:rPr>
        <w:t xml:space="preserve">ead of </w:t>
      </w:r>
      <w:r w:rsidR="00284D64" w:rsidRPr="005A7157">
        <w:rPr>
          <w:rFonts w:ascii="Trebuchet MS" w:hAnsi="Trebuchet MS"/>
          <w:lang w:val="en-GB"/>
        </w:rPr>
        <w:t>Service S</w:t>
      </w:r>
      <w:r w:rsidR="00AA71C3" w:rsidRPr="005A7157">
        <w:rPr>
          <w:rFonts w:ascii="Trebuchet MS" w:hAnsi="Trebuchet MS"/>
          <w:lang w:val="en-GB"/>
        </w:rPr>
        <w:t>ales Kale</w:t>
      </w:r>
      <w:r w:rsidR="00F54445" w:rsidRPr="005A7157">
        <w:rPr>
          <w:rFonts w:ascii="Trebuchet MS" w:hAnsi="Trebuchet MS"/>
          <w:lang w:val="en-GB"/>
        </w:rPr>
        <w:t>vi Kettunen</w:t>
      </w:r>
      <w:r w:rsidR="00193324" w:rsidRPr="005A7157">
        <w:rPr>
          <w:rFonts w:ascii="Trebuchet MS" w:hAnsi="Trebuchet MS"/>
          <w:lang w:val="en-GB"/>
        </w:rPr>
        <w:t>,</w:t>
      </w:r>
      <w:r w:rsidR="00AA71C3" w:rsidRPr="005A7157">
        <w:rPr>
          <w:rFonts w:ascii="Trebuchet MS" w:hAnsi="Trebuchet MS"/>
          <w:lang w:val="en-GB"/>
        </w:rPr>
        <w:t xml:space="preserve"> who describes the case </w:t>
      </w:r>
      <w:r w:rsidR="00EE74ED">
        <w:rPr>
          <w:rFonts w:ascii="Trebuchet MS" w:hAnsi="Trebuchet MS"/>
          <w:lang w:val="en-GB"/>
        </w:rPr>
        <w:t>extremely</w:t>
      </w:r>
      <w:r w:rsidR="00AA71C3" w:rsidRPr="005A7157">
        <w:rPr>
          <w:rFonts w:ascii="Trebuchet MS" w:hAnsi="Trebuchet MS"/>
          <w:lang w:val="en-GB"/>
        </w:rPr>
        <w:t xml:space="preserve"> positive, since it creates added value </w:t>
      </w:r>
      <w:r w:rsidR="0019346E">
        <w:rPr>
          <w:rFonts w:ascii="Trebuchet MS" w:hAnsi="Trebuchet MS"/>
          <w:lang w:val="en-GB"/>
        </w:rPr>
        <w:t>fast</w:t>
      </w:r>
      <w:r w:rsidR="0019346E" w:rsidRPr="005A7157">
        <w:rPr>
          <w:rFonts w:ascii="Trebuchet MS" w:hAnsi="Trebuchet MS"/>
          <w:lang w:val="en-GB"/>
        </w:rPr>
        <w:t xml:space="preserve"> </w:t>
      </w:r>
      <w:r w:rsidR="00AA71C3" w:rsidRPr="005A7157">
        <w:rPr>
          <w:rFonts w:ascii="Trebuchet MS" w:hAnsi="Trebuchet MS"/>
          <w:lang w:val="en-GB"/>
        </w:rPr>
        <w:t>for the customer.</w:t>
      </w:r>
      <w:r w:rsidR="008D7008" w:rsidRPr="005A7157">
        <w:rPr>
          <w:rFonts w:ascii="Trebuchet MS" w:hAnsi="Trebuchet MS"/>
          <w:lang w:val="en-GB"/>
        </w:rPr>
        <w:t xml:space="preserve"> Assembling Flowrox Scaling Watch in the process brings remarkable savings to the customer</w:t>
      </w:r>
      <w:r w:rsidR="00193324" w:rsidRPr="005A7157">
        <w:rPr>
          <w:rFonts w:ascii="Trebuchet MS" w:hAnsi="Trebuchet MS"/>
          <w:lang w:val="en-GB"/>
        </w:rPr>
        <w:t xml:space="preserve">. </w:t>
      </w:r>
      <w:r w:rsidR="00EE74ED">
        <w:rPr>
          <w:rFonts w:ascii="Trebuchet MS" w:hAnsi="Trebuchet MS"/>
          <w:lang w:val="en-GB"/>
        </w:rPr>
        <w:t>The system</w:t>
      </w:r>
      <w:r w:rsidR="00193324" w:rsidRPr="005A7157">
        <w:rPr>
          <w:rFonts w:ascii="Trebuchet MS" w:hAnsi="Trebuchet MS"/>
          <w:lang w:val="en-GB"/>
        </w:rPr>
        <w:t xml:space="preserve"> enables</w:t>
      </w:r>
      <w:r w:rsidR="008D7008" w:rsidRPr="005A7157">
        <w:rPr>
          <w:rFonts w:ascii="Trebuchet MS" w:hAnsi="Trebuchet MS"/>
          <w:lang w:val="en-GB"/>
        </w:rPr>
        <w:t xml:space="preserve"> optimizing the </w:t>
      </w:r>
      <w:r w:rsidR="00193324" w:rsidRPr="005A7157">
        <w:rPr>
          <w:rFonts w:ascii="Trebuchet MS" w:hAnsi="Trebuchet MS"/>
          <w:lang w:val="en-GB"/>
        </w:rPr>
        <w:t>process and dosi</w:t>
      </w:r>
      <w:r w:rsidR="00AD6C24" w:rsidRPr="005A7157">
        <w:rPr>
          <w:rFonts w:ascii="Trebuchet MS" w:hAnsi="Trebuchet MS"/>
          <w:lang w:val="en-GB"/>
        </w:rPr>
        <w:t xml:space="preserve">ng the chemicals </w:t>
      </w:r>
      <w:r w:rsidR="000E365B">
        <w:rPr>
          <w:rFonts w:ascii="Trebuchet MS" w:hAnsi="Trebuchet MS"/>
          <w:lang w:val="en-GB"/>
        </w:rPr>
        <w:t>and increases</w:t>
      </w:r>
      <w:r w:rsidR="00AD6C24" w:rsidRPr="005A7157">
        <w:rPr>
          <w:rFonts w:ascii="Trebuchet MS" w:hAnsi="Trebuchet MS"/>
          <w:lang w:val="en-GB"/>
        </w:rPr>
        <w:t xml:space="preserve"> the operational reliability </w:t>
      </w:r>
      <w:r w:rsidR="000E365B">
        <w:rPr>
          <w:rFonts w:ascii="Trebuchet MS" w:hAnsi="Trebuchet MS"/>
          <w:lang w:val="en-GB"/>
        </w:rPr>
        <w:t>of</w:t>
      </w:r>
      <w:r w:rsidR="00AD6C24" w:rsidRPr="005A7157">
        <w:rPr>
          <w:rFonts w:ascii="Trebuchet MS" w:hAnsi="Trebuchet MS"/>
          <w:lang w:val="en-GB"/>
        </w:rPr>
        <w:t xml:space="preserve"> the plant.</w:t>
      </w:r>
    </w:p>
    <w:p w:rsidR="00E01B2F" w:rsidRPr="00B13AF9" w:rsidRDefault="00AD6C24" w:rsidP="00E75226">
      <w:pPr>
        <w:jc w:val="both"/>
        <w:rPr>
          <w:rFonts w:ascii="Trebuchet MS" w:hAnsi="Trebuchet MS" w:cs="Arial"/>
          <w:lang w:val="en-US"/>
        </w:rPr>
      </w:pPr>
      <w:r w:rsidRPr="005A7157">
        <w:rPr>
          <w:rFonts w:ascii="Trebuchet MS" w:hAnsi="Trebuchet MS"/>
          <w:lang w:val="en-GB"/>
        </w:rPr>
        <w:t>Flowrox Scaling Watch is targeted to the customers who suffer from scaling in different phases of their process. By using this device</w:t>
      </w:r>
      <w:r w:rsidR="00855678">
        <w:rPr>
          <w:rFonts w:ascii="Trebuchet MS" w:hAnsi="Trebuchet MS"/>
          <w:lang w:val="en-GB"/>
        </w:rPr>
        <w:t>,</w:t>
      </w:r>
      <w:r w:rsidRPr="005A7157">
        <w:rPr>
          <w:rFonts w:ascii="Trebuchet MS" w:hAnsi="Trebuchet MS"/>
          <w:lang w:val="en-GB"/>
        </w:rPr>
        <w:t xml:space="preserve"> it is possible to dose anti-scaling chemicals </w:t>
      </w:r>
      <w:r w:rsidR="006A30BC">
        <w:rPr>
          <w:rFonts w:ascii="Trebuchet MS" w:hAnsi="Trebuchet MS"/>
          <w:lang w:val="en-GB"/>
        </w:rPr>
        <w:t xml:space="preserve">more </w:t>
      </w:r>
      <w:r w:rsidRPr="005A7157">
        <w:rPr>
          <w:rFonts w:ascii="Trebuchet MS" w:hAnsi="Trebuchet MS"/>
          <w:lang w:val="en-GB"/>
        </w:rPr>
        <w:t xml:space="preserve">accurately </w:t>
      </w:r>
      <w:r w:rsidR="00855678">
        <w:rPr>
          <w:rFonts w:ascii="Trebuchet MS" w:hAnsi="Trebuchet MS"/>
          <w:lang w:val="en-GB"/>
        </w:rPr>
        <w:t xml:space="preserve">and gain remarkable savings. </w:t>
      </w:r>
      <w:r w:rsidR="006A30BC">
        <w:rPr>
          <w:rFonts w:ascii="Trebuchet MS" w:hAnsi="Trebuchet MS"/>
          <w:lang w:val="en-GB"/>
        </w:rPr>
        <w:t>W</w:t>
      </w:r>
      <w:r w:rsidR="005A7157" w:rsidRPr="005A7157">
        <w:rPr>
          <w:rFonts w:ascii="Trebuchet MS" w:hAnsi="Trebuchet MS"/>
          <w:lang w:val="en-GB"/>
        </w:rPr>
        <w:t xml:space="preserve">ith Flowrox Scaling Watch it is also possible to optimize process and prevent the </w:t>
      </w:r>
      <w:r w:rsidR="005A7157" w:rsidRPr="005A7157">
        <w:rPr>
          <w:rFonts w:ascii="Trebuchet MS" w:hAnsi="Trebuchet MS" w:cs="Arial"/>
          <w:lang w:val="en-US"/>
        </w:rPr>
        <w:t>unexpected</w:t>
      </w:r>
      <w:r w:rsidR="007E0054">
        <w:rPr>
          <w:rFonts w:ascii="Trebuchet MS" w:hAnsi="Trebuchet MS" w:cs="Arial"/>
          <w:lang w:val="en-US"/>
        </w:rPr>
        <w:t xml:space="preserve"> downtime</w:t>
      </w:r>
      <w:r w:rsidR="006A30BC">
        <w:rPr>
          <w:rFonts w:ascii="Trebuchet MS" w:hAnsi="Trebuchet MS" w:cs="Arial"/>
          <w:lang w:val="en-US"/>
        </w:rPr>
        <w:t xml:space="preserve"> in</w:t>
      </w:r>
      <w:r w:rsidR="005A7157" w:rsidRPr="005A7157">
        <w:rPr>
          <w:rFonts w:ascii="Trebuchet MS" w:hAnsi="Trebuchet MS" w:cs="Arial"/>
          <w:lang w:val="en-US"/>
        </w:rPr>
        <w:t xml:space="preserve"> production.</w:t>
      </w:r>
    </w:p>
    <w:p w:rsidR="005A7157" w:rsidRPr="00F25F80" w:rsidRDefault="005A7157" w:rsidP="005A7157">
      <w:pPr>
        <w:spacing w:after="0" w:line="240" w:lineRule="auto"/>
        <w:jc w:val="both"/>
        <w:rPr>
          <w:rFonts w:ascii="Trebuchet MS" w:hAnsi="Trebuchet MS"/>
          <w:lang w:val="en-US"/>
        </w:rPr>
      </w:pPr>
      <w:r w:rsidRPr="00E01B2F">
        <w:rPr>
          <w:rFonts w:ascii="Trebuchet MS" w:hAnsi="Trebuchet MS"/>
          <w:b/>
          <w:bCs/>
          <w:lang w:val="en-US"/>
        </w:rPr>
        <w:t xml:space="preserve">Further information: </w:t>
      </w:r>
      <w:r w:rsidRPr="00E01B2F">
        <w:rPr>
          <w:rFonts w:ascii="Trebuchet MS" w:hAnsi="Trebuchet MS"/>
          <w:b/>
          <w:bCs/>
          <w:lang w:val="en-US"/>
        </w:rPr>
        <w:tab/>
      </w:r>
      <w:r w:rsidR="00E01B2F" w:rsidRPr="00E01B2F">
        <w:rPr>
          <w:rFonts w:ascii="Trebuchet MS" w:hAnsi="Trebuchet MS"/>
          <w:lang w:val="en-US"/>
        </w:rPr>
        <w:t xml:space="preserve">Simo Manninen, </w:t>
      </w:r>
      <w:r w:rsidR="00F25F80">
        <w:rPr>
          <w:rFonts w:ascii="Trebuchet MS" w:hAnsi="Trebuchet MS"/>
          <w:lang w:val="en-US"/>
        </w:rPr>
        <w:t>VP, Marketing</w:t>
      </w:r>
      <w:r w:rsidRPr="00E01B2F">
        <w:rPr>
          <w:rFonts w:ascii="Trebuchet MS" w:hAnsi="Trebuchet MS"/>
          <w:lang w:val="en-US"/>
        </w:rPr>
        <w:t xml:space="preserve">, p. </w:t>
      </w:r>
      <w:r w:rsidR="00066384">
        <w:rPr>
          <w:rFonts w:ascii="Trebuchet MS" w:hAnsi="Trebuchet MS"/>
          <w:lang w:val="en-US"/>
        </w:rPr>
        <w:t xml:space="preserve">+358 </w:t>
      </w:r>
      <w:r w:rsidRPr="00E01B2F">
        <w:rPr>
          <w:rFonts w:ascii="Trebuchet MS" w:hAnsi="Trebuchet MS"/>
          <w:lang w:val="en-US"/>
        </w:rPr>
        <w:t xml:space="preserve">40 576 2635 </w:t>
      </w:r>
    </w:p>
    <w:p w:rsidR="005A7157" w:rsidRDefault="005A7157" w:rsidP="005A7157">
      <w:pPr>
        <w:spacing w:after="0" w:line="240" w:lineRule="auto"/>
        <w:ind w:left="2160" w:firstLine="720"/>
        <w:jc w:val="both"/>
        <w:rPr>
          <w:rFonts w:ascii="Trebuchet MS" w:hAnsi="Trebuchet MS"/>
          <w:lang w:val="en-US"/>
        </w:rPr>
      </w:pPr>
      <w:r w:rsidRPr="005A7157">
        <w:rPr>
          <w:rFonts w:ascii="Trebuchet MS" w:hAnsi="Trebuchet MS"/>
          <w:lang w:val="en-US"/>
        </w:rPr>
        <w:t xml:space="preserve">Product inquiries: </w:t>
      </w:r>
      <w:r w:rsidR="006A30BC" w:rsidRPr="006E1CAC">
        <w:rPr>
          <w:rFonts w:ascii="Trebuchet MS" w:hAnsi="Trebuchet MS"/>
          <w:lang w:val="en-US"/>
        </w:rPr>
        <w:t>sales@flowrox.com</w:t>
      </w:r>
    </w:p>
    <w:p w:rsidR="006A30BC" w:rsidRPr="005A7157" w:rsidRDefault="006A30BC" w:rsidP="005A7157">
      <w:pPr>
        <w:spacing w:after="0" w:line="240" w:lineRule="auto"/>
        <w:ind w:left="2160" w:firstLine="720"/>
        <w:jc w:val="both"/>
        <w:rPr>
          <w:rFonts w:ascii="Trebuchet MS" w:hAnsi="Trebuchet MS"/>
          <w:lang w:val="en-US"/>
        </w:rPr>
      </w:pPr>
    </w:p>
    <w:p w:rsidR="00EF53BD" w:rsidRDefault="00EF53BD" w:rsidP="00B13AF9">
      <w:pPr>
        <w:spacing w:after="0" w:line="240" w:lineRule="auto"/>
        <w:jc w:val="both"/>
        <w:rPr>
          <w:rFonts w:ascii="Trebuchet MS" w:hAnsi="Trebuchet MS"/>
          <w:i/>
          <w:sz w:val="20"/>
          <w:szCs w:val="20"/>
          <w:lang w:val="en-US"/>
        </w:rPr>
      </w:pPr>
    </w:p>
    <w:p w:rsidR="000E365B" w:rsidRDefault="000E365B" w:rsidP="00B13AF9">
      <w:pPr>
        <w:spacing w:after="0" w:line="240" w:lineRule="auto"/>
        <w:jc w:val="both"/>
        <w:rPr>
          <w:rFonts w:ascii="Trebuchet MS" w:hAnsi="Trebuchet MS"/>
          <w:i/>
          <w:sz w:val="20"/>
          <w:szCs w:val="20"/>
          <w:lang w:val="en-US"/>
        </w:rPr>
      </w:pPr>
    </w:p>
    <w:p w:rsidR="00B13AF9" w:rsidRPr="00FB1507" w:rsidRDefault="00B13AF9" w:rsidP="000E365B">
      <w:pPr>
        <w:spacing w:after="0" w:line="240" w:lineRule="auto"/>
        <w:jc w:val="both"/>
        <w:rPr>
          <w:rFonts w:ascii="Trebuchet MS" w:hAnsi="Trebuchet MS"/>
          <w:i/>
          <w:sz w:val="20"/>
          <w:szCs w:val="20"/>
          <w:lang w:val="en-US"/>
        </w:rPr>
      </w:pPr>
      <w:r w:rsidRPr="00FB1507">
        <w:rPr>
          <w:rFonts w:ascii="Trebuchet MS" w:hAnsi="Trebuchet MS"/>
          <w:i/>
          <w:sz w:val="20"/>
          <w:szCs w:val="20"/>
          <w:lang w:val="en-US"/>
        </w:rPr>
        <w:t>Flowrox is a manufacturer of heavy duty industrial valves and pumps. In addition we offer our customers flow control automation solutions and comp</w:t>
      </w:r>
      <w:r w:rsidR="000E365B">
        <w:rPr>
          <w:rFonts w:ascii="Trebuchet MS" w:hAnsi="Trebuchet MS"/>
          <w:i/>
          <w:sz w:val="20"/>
          <w:szCs w:val="20"/>
          <w:lang w:val="en-US"/>
        </w:rPr>
        <w:t xml:space="preserve">rehensive after-sales services. </w:t>
      </w:r>
      <w:r w:rsidRPr="00FB1507">
        <w:rPr>
          <w:rFonts w:ascii="Trebuchet MS" w:hAnsi="Trebuchet MS"/>
          <w:i/>
          <w:sz w:val="20"/>
          <w:szCs w:val="20"/>
          <w:lang w:val="en-US"/>
        </w:rPr>
        <w:t xml:space="preserve">Headquartered in Lappeenranta, Finland Flowrox Group has subsidiaries in USA, Australia, South Africa, China and Russia. </w:t>
      </w:r>
      <w:r w:rsidRPr="000E365B">
        <w:rPr>
          <w:rFonts w:ascii="Trebuchet MS" w:hAnsi="Trebuchet MS"/>
          <w:i/>
          <w:sz w:val="20"/>
          <w:szCs w:val="20"/>
          <w:lang w:val="en-US"/>
        </w:rPr>
        <w:t xml:space="preserve">For further information visit </w:t>
      </w:r>
      <w:hyperlink r:id="rId8" w:history="1">
        <w:r w:rsidRPr="000E365B">
          <w:rPr>
            <w:rStyle w:val="Hyperlink"/>
            <w:rFonts w:ascii="Trebuchet MS" w:hAnsi="Trebuchet MS" w:cs="Trebuchet MS"/>
            <w:i/>
            <w:sz w:val="20"/>
            <w:szCs w:val="20"/>
            <w:lang w:val="en-US"/>
          </w:rPr>
          <w:t>www.flowrox.com</w:t>
        </w:r>
      </w:hyperlink>
    </w:p>
    <w:p w:rsidR="00C65D05" w:rsidRPr="005A7157" w:rsidRDefault="00C65D05" w:rsidP="00C65D05">
      <w:pPr>
        <w:spacing w:after="0" w:line="240" w:lineRule="auto"/>
        <w:jc w:val="both"/>
        <w:rPr>
          <w:rFonts w:ascii="Trebuchet MS" w:hAnsi="Trebuchet MS"/>
          <w:lang w:val="en-US"/>
        </w:rPr>
      </w:pPr>
    </w:p>
    <w:p w:rsidR="00BF6B48" w:rsidRPr="005A7157" w:rsidRDefault="00BF6B48" w:rsidP="00C65D05">
      <w:pPr>
        <w:spacing w:after="0" w:line="240" w:lineRule="auto"/>
        <w:jc w:val="both"/>
        <w:rPr>
          <w:rFonts w:ascii="Trebuchet MS" w:hAnsi="Trebuchet MS"/>
          <w:lang w:val="en-US"/>
        </w:rPr>
      </w:pPr>
    </w:p>
    <w:sectPr w:rsidR="00BF6B48" w:rsidRPr="005A7157" w:rsidSect="002C5A9D">
      <w:headerReference w:type="default" r:id="rId9"/>
      <w:footerReference w:type="default" r:id="rId10"/>
      <w:pgSz w:w="12240" w:h="15840"/>
      <w:pgMar w:top="0" w:right="1797" w:bottom="-170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98" w:rsidRDefault="00E90698" w:rsidP="001B65FD">
      <w:pPr>
        <w:spacing w:after="0" w:line="240" w:lineRule="auto"/>
      </w:pPr>
      <w:r>
        <w:separator/>
      </w:r>
    </w:p>
  </w:endnote>
  <w:endnote w:type="continuationSeparator" w:id="0">
    <w:p w:rsidR="00E90698" w:rsidRDefault="00E90698" w:rsidP="001B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35" w:rsidRDefault="00F10E35" w:rsidP="00F61BAF"/>
  <w:tbl>
    <w:tblPr>
      <w:tblW w:w="10206" w:type="dxa"/>
      <w:tblInd w:w="-777" w:type="dxa"/>
      <w:tblBorders>
        <w:top w:val="single" w:sz="6" w:space="0" w:color="auto"/>
      </w:tblBorders>
      <w:tblLayout w:type="fixed"/>
      <w:tblCellMar>
        <w:left w:w="0" w:type="dxa"/>
        <w:right w:w="0" w:type="dxa"/>
      </w:tblCellMar>
      <w:tblLook w:val="0000"/>
    </w:tblPr>
    <w:tblGrid>
      <w:gridCol w:w="2544"/>
      <w:gridCol w:w="1984"/>
      <w:gridCol w:w="2977"/>
      <w:gridCol w:w="2701"/>
    </w:tblGrid>
    <w:tr w:rsidR="00F10E35" w:rsidTr="00F61BAF">
      <w:trPr>
        <w:cantSplit/>
      </w:trPr>
      <w:tc>
        <w:tcPr>
          <w:tcW w:w="2544" w:type="dxa"/>
        </w:tcPr>
        <w:p w:rsidR="00F10E35" w:rsidRPr="000525CD" w:rsidRDefault="00F10E35" w:rsidP="0060715B">
          <w:pPr>
            <w:tabs>
              <w:tab w:val="left" w:pos="2730"/>
              <w:tab w:val="left" w:pos="5238"/>
              <w:tab w:val="left" w:pos="7422"/>
            </w:tabs>
            <w:rPr>
              <w:rFonts w:ascii="Trebuchet MS" w:hAnsi="Trebuchet MS"/>
              <w:sz w:val="20"/>
            </w:rPr>
          </w:pPr>
          <w:r>
            <w:rPr>
              <w:rFonts w:ascii="Trebuchet MS" w:hAnsi="Trebuchet MS"/>
              <w:sz w:val="20"/>
            </w:rPr>
            <w:t xml:space="preserve">Flowrox </w:t>
          </w:r>
          <w:r w:rsidRPr="000525CD">
            <w:rPr>
              <w:rFonts w:ascii="Trebuchet MS" w:hAnsi="Trebuchet MS"/>
              <w:sz w:val="20"/>
            </w:rPr>
            <w:t>Oy</w:t>
          </w:r>
          <w:r w:rsidRPr="000525CD">
            <w:rPr>
              <w:rFonts w:ascii="Trebuchet MS" w:hAnsi="Trebuchet MS"/>
              <w:sz w:val="20"/>
            </w:rPr>
            <w:br/>
            <w:t>P.O. Box 338</w:t>
          </w:r>
          <w:r w:rsidRPr="000525CD">
            <w:rPr>
              <w:rFonts w:ascii="Trebuchet MS" w:hAnsi="Trebuchet MS"/>
              <w:sz w:val="20"/>
            </w:rPr>
            <w:br/>
            <w:t>FI-53101 Lappeenranta</w:t>
          </w:r>
          <w:r w:rsidRPr="000525CD">
            <w:rPr>
              <w:rFonts w:ascii="Trebuchet MS" w:hAnsi="Trebuchet MS"/>
              <w:sz w:val="20"/>
            </w:rPr>
            <w:br/>
            <w:t>Finland</w:t>
          </w:r>
        </w:p>
      </w:tc>
      <w:tc>
        <w:tcPr>
          <w:tcW w:w="1984" w:type="dxa"/>
        </w:tcPr>
        <w:p w:rsidR="00F10E35" w:rsidRPr="00D44819" w:rsidRDefault="00F10E35" w:rsidP="0060715B">
          <w:pPr>
            <w:pStyle w:val="Footer"/>
            <w:tabs>
              <w:tab w:val="left" w:pos="653"/>
            </w:tabs>
            <w:rPr>
              <w:rFonts w:ascii="Trebuchet MS" w:hAnsi="Trebuchet MS"/>
              <w:sz w:val="20"/>
              <w:lang w:val="en-US"/>
            </w:rPr>
          </w:pPr>
          <w:r w:rsidRPr="00D44819">
            <w:rPr>
              <w:rFonts w:ascii="Trebuchet MS" w:hAnsi="Trebuchet MS"/>
              <w:sz w:val="20"/>
              <w:lang w:val="en-US"/>
            </w:rPr>
            <w:t>Street Address</w:t>
          </w:r>
        </w:p>
        <w:p w:rsidR="00F10E35" w:rsidRPr="00D44819" w:rsidRDefault="00F10E35" w:rsidP="0060715B">
          <w:pPr>
            <w:pStyle w:val="Footer"/>
            <w:tabs>
              <w:tab w:val="left" w:pos="653"/>
            </w:tabs>
            <w:rPr>
              <w:rFonts w:ascii="Trebuchet MS" w:hAnsi="Trebuchet MS"/>
              <w:sz w:val="20"/>
              <w:lang w:val="en-US"/>
            </w:rPr>
          </w:pPr>
          <w:r w:rsidRPr="00D44819">
            <w:rPr>
              <w:rFonts w:ascii="Trebuchet MS" w:hAnsi="Trebuchet MS"/>
              <w:sz w:val="20"/>
              <w:lang w:val="en-US"/>
            </w:rPr>
            <w:t>Marssitie 1</w:t>
          </w:r>
        </w:p>
        <w:p w:rsidR="00F10E35" w:rsidRPr="00D44819" w:rsidRDefault="00F10E35" w:rsidP="0060715B">
          <w:pPr>
            <w:pStyle w:val="Footer"/>
            <w:tabs>
              <w:tab w:val="left" w:pos="653"/>
            </w:tabs>
            <w:rPr>
              <w:rFonts w:ascii="Trebuchet MS" w:hAnsi="Trebuchet MS"/>
              <w:sz w:val="20"/>
              <w:lang w:val="en-US"/>
            </w:rPr>
          </w:pPr>
          <w:r w:rsidRPr="00D44819">
            <w:rPr>
              <w:rFonts w:ascii="Trebuchet MS" w:hAnsi="Trebuchet MS"/>
              <w:sz w:val="20"/>
              <w:lang w:val="en-US"/>
            </w:rPr>
            <w:t>FI-53600 Lappeenranta</w:t>
          </w:r>
        </w:p>
        <w:p w:rsidR="00F10E35" w:rsidRPr="00D44819" w:rsidRDefault="00F10E35" w:rsidP="0060715B">
          <w:pPr>
            <w:pStyle w:val="Footer"/>
            <w:tabs>
              <w:tab w:val="left" w:pos="653"/>
            </w:tabs>
            <w:rPr>
              <w:rFonts w:ascii="Trebuchet MS" w:hAnsi="Trebuchet MS"/>
              <w:sz w:val="20"/>
              <w:lang w:val="en-US"/>
            </w:rPr>
          </w:pPr>
          <w:r w:rsidRPr="00D44819">
            <w:rPr>
              <w:rFonts w:ascii="Trebuchet MS" w:hAnsi="Trebuchet MS"/>
              <w:sz w:val="20"/>
              <w:lang w:val="en-US"/>
            </w:rPr>
            <w:t>Finland</w:t>
          </w:r>
        </w:p>
      </w:tc>
      <w:tc>
        <w:tcPr>
          <w:tcW w:w="2977" w:type="dxa"/>
        </w:tcPr>
        <w:p w:rsidR="00F10E35" w:rsidRPr="000525CD" w:rsidRDefault="00F10E35" w:rsidP="0060715B">
          <w:pPr>
            <w:pStyle w:val="FooterFirst"/>
            <w:tabs>
              <w:tab w:val="left" w:pos="653"/>
            </w:tabs>
            <w:rPr>
              <w:rFonts w:ascii="Trebuchet MS" w:hAnsi="Trebuchet MS"/>
              <w:sz w:val="20"/>
              <w:szCs w:val="22"/>
            </w:rPr>
          </w:pPr>
          <w:r w:rsidRPr="000525CD">
            <w:rPr>
              <w:rFonts w:ascii="Trebuchet MS" w:hAnsi="Trebuchet MS"/>
              <w:sz w:val="20"/>
              <w:szCs w:val="22"/>
            </w:rPr>
            <w:t>Tel</w:t>
          </w:r>
          <w:r w:rsidRPr="000525CD">
            <w:rPr>
              <w:rFonts w:ascii="Trebuchet MS" w:hAnsi="Trebuchet MS"/>
              <w:sz w:val="20"/>
              <w:szCs w:val="22"/>
            </w:rPr>
            <w:tab/>
          </w:r>
          <w:r w:rsidRPr="000525CD">
            <w:rPr>
              <w:rFonts w:ascii="Trebuchet MS" w:hAnsi="Trebuchet MS" w:cs="Arial"/>
              <w:sz w:val="20"/>
              <w:szCs w:val="22"/>
            </w:rPr>
            <w:t>+358 201 113 311</w:t>
          </w:r>
        </w:p>
        <w:p w:rsidR="00F10E35" w:rsidRPr="00D44819" w:rsidRDefault="00F10E35" w:rsidP="0060715B">
          <w:pPr>
            <w:pStyle w:val="Footer"/>
            <w:tabs>
              <w:tab w:val="left" w:pos="653"/>
            </w:tabs>
            <w:rPr>
              <w:rFonts w:ascii="Trebuchet MS" w:hAnsi="Trebuchet MS" w:cs="Arial"/>
              <w:sz w:val="20"/>
              <w:lang w:val="en-US"/>
            </w:rPr>
          </w:pPr>
          <w:r w:rsidRPr="00D44819">
            <w:rPr>
              <w:rFonts w:ascii="Trebuchet MS" w:hAnsi="Trebuchet MS"/>
              <w:sz w:val="20"/>
              <w:lang w:val="en-US"/>
            </w:rPr>
            <w:t>Fax</w:t>
          </w:r>
          <w:r w:rsidRPr="00D44819">
            <w:rPr>
              <w:rFonts w:ascii="Trebuchet MS" w:hAnsi="Trebuchet MS"/>
              <w:sz w:val="20"/>
              <w:lang w:val="en-US"/>
            </w:rPr>
            <w:tab/>
            <w:t xml:space="preserve">+358 </w:t>
          </w:r>
          <w:r w:rsidRPr="00D44819">
            <w:rPr>
              <w:rFonts w:ascii="Trebuchet MS" w:hAnsi="Trebuchet MS" w:cs="Arial"/>
              <w:sz w:val="20"/>
              <w:lang w:val="en-US"/>
            </w:rPr>
            <w:t xml:space="preserve">201 113 300 </w:t>
          </w:r>
        </w:p>
        <w:p w:rsidR="00F10E35" w:rsidRPr="00D44819" w:rsidRDefault="00F10E35" w:rsidP="00DF672A">
          <w:pPr>
            <w:pStyle w:val="Footer"/>
            <w:tabs>
              <w:tab w:val="left" w:pos="653"/>
            </w:tabs>
            <w:rPr>
              <w:rFonts w:ascii="Trebuchet MS" w:hAnsi="Trebuchet MS"/>
              <w:sz w:val="20"/>
              <w:lang w:val="en-US"/>
            </w:rPr>
          </w:pPr>
          <w:r w:rsidRPr="00D44819">
            <w:rPr>
              <w:rFonts w:ascii="Trebuchet MS" w:hAnsi="Trebuchet MS" w:cs="Arial"/>
              <w:color w:val="000000"/>
              <w:sz w:val="20"/>
              <w:szCs w:val="16"/>
              <w:lang w:val="en-US"/>
            </w:rPr>
            <w:t>E</w:t>
          </w:r>
          <w:r w:rsidRPr="00D44819">
            <w:rPr>
              <w:rFonts w:ascii="Trebuchet MS" w:hAnsi="Trebuchet MS"/>
              <w:color w:val="000000"/>
              <w:sz w:val="20"/>
              <w:szCs w:val="16"/>
              <w:lang w:val="en-US"/>
            </w:rPr>
            <w:t xml:space="preserve">mail </w:t>
          </w:r>
          <w:r w:rsidRPr="00D44819">
            <w:rPr>
              <w:rFonts w:ascii="Trebuchet MS" w:hAnsi="Trebuchet MS"/>
              <w:color w:val="000000"/>
              <w:sz w:val="20"/>
              <w:szCs w:val="16"/>
              <w:lang w:val="en-US"/>
            </w:rPr>
            <w:tab/>
          </w:r>
          <w:r w:rsidR="00C37B71">
            <w:fldChar w:fldCharType="begin"/>
          </w:r>
          <w:r w:rsidR="00C37B71" w:rsidRPr="0019346E">
            <w:rPr>
              <w:lang w:val="en-US"/>
            </w:rPr>
            <w:instrText>HYPERLINK "mailto:info" \l "flowrox.com"</w:instrText>
          </w:r>
          <w:r w:rsidR="00C37B71">
            <w:fldChar w:fldCharType="separate"/>
          </w:r>
          <w:r w:rsidRPr="00D44819">
            <w:rPr>
              <w:rStyle w:val="Hyperlink"/>
              <w:rFonts w:ascii="Trebuchet MS" w:hAnsi="Trebuchet MS"/>
              <w:sz w:val="20"/>
              <w:szCs w:val="16"/>
              <w:lang w:val="en-US"/>
            </w:rPr>
            <w:t>info</w:t>
          </w:r>
          <w:r w:rsidRPr="000518E6">
            <w:rPr>
              <w:rStyle w:val="Hyperlink"/>
              <w:rFonts w:ascii="Trebuchet MS" w:hAnsi="Trebuchet MS"/>
              <w:sz w:val="20"/>
              <w:szCs w:val="16"/>
            </w:rPr>
            <w:sym w:font="Kino MT" w:char="0040"/>
          </w:r>
          <w:r w:rsidRPr="00D44819">
            <w:rPr>
              <w:rStyle w:val="Hyperlink"/>
              <w:rFonts w:ascii="Trebuchet MS" w:hAnsi="Trebuchet MS"/>
              <w:sz w:val="20"/>
              <w:szCs w:val="16"/>
              <w:lang w:val="en-US"/>
            </w:rPr>
            <w:t>flowrox.com</w:t>
          </w:r>
          <w:r w:rsidR="00C37B71">
            <w:fldChar w:fldCharType="end"/>
          </w:r>
          <w:r w:rsidRPr="00D44819">
            <w:rPr>
              <w:rFonts w:ascii="Trebuchet MS" w:hAnsi="Trebuchet MS"/>
              <w:color w:val="000000"/>
              <w:sz w:val="20"/>
              <w:szCs w:val="16"/>
              <w:lang w:val="en-US"/>
            </w:rPr>
            <w:t xml:space="preserve"> </w:t>
          </w:r>
          <w:r w:rsidRPr="00D44819">
            <w:rPr>
              <w:rFonts w:ascii="Trebuchet MS" w:hAnsi="Trebuchet MS"/>
              <w:color w:val="000000"/>
              <w:sz w:val="20"/>
              <w:szCs w:val="16"/>
              <w:lang w:val="en-US"/>
            </w:rPr>
            <w:br/>
            <w:t xml:space="preserve">Internet </w:t>
          </w:r>
          <w:hyperlink r:id="rId1" w:history="1">
            <w:r w:rsidRPr="00D44819">
              <w:rPr>
                <w:rStyle w:val="Hyperlink"/>
                <w:rFonts w:ascii="Trebuchet MS" w:hAnsi="Trebuchet MS"/>
                <w:sz w:val="20"/>
                <w:szCs w:val="16"/>
                <w:lang w:val="en-US"/>
              </w:rPr>
              <w:t>www.flowrox.com</w:t>
            </w:r>
          </w:hyperlink>
          <w:r w:rsidRPr="00D44819">
            <w:rPr>
              <w:rFonts w:ascii="Trebuchet MS" w:hAnsi="Trebuchet MS"/>
              <w:color w:val="000000"/>
              <w:sz w:val="20"/>
              <w:szCs w:val="16"/>
              <w:lang w:val="en-US"/>
            </w:rPr>
            <w:t xml:space="preserve"> </w:t>
          </w:r>
        </w:p>
      </w:tc>
      <w:tc>
        <w:tcPr>
          <w:tcW w:w="2701" w:type="dxa"/>
        </w:tcPr>
        <w:p w:rsidR="00F10E35" w:rsidRPr="000525CD" w:rsidRDefault="00F10E35" w:rsidP="0060715B">
          <w:pPr>
            <w:pStyle w:val="Footer"/>
            <w:tabs>
              <w:tab w:val="left" w:pos="677"/>
            </w:tabs>
            <w:ind w:right="320"/>
            <w:rPr>
              <w:rFonts w:ascii="Trebuchet MS" w:hAnsi="Trebuchet MS"/>
              <w:sz w:val="20"/>
            </w:rPr>
          </w:pPr>
          <w:r w:rsidRPr="00D44819">
            <w:rPr>
              <w:rFonts w:ascii="Trebuchet MS" w:hAnsi="Trebuchet MS"/>
              <w:color w:val="000000"/>
              <w:sz w:val="20"/>
              <w:szCs w:val="16"/>
              <w:lang w:val="en-US"/>
            </w:rPr>
            <w:tab/>
          </w:r>
          <w:r>
            <w:rPr>
              <w:noProof/>
              <w:lang w:eastAsia="fi-FI"/>
            </w:rPr>
            <w:drawing>
              <wp:inline distT="0" distB="0" distL="0" distR="0">
                <wp:extent cx="1019175" cy="764381"/>
                <wp:effectExtent l="19050" t="0" r="9525" b="0"/>
                <wp:docPr id="3" name="Picture 2" descr="L:\Marketing_2010\Common\Brand Management\Flowrox visual and logos\Logo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rketing_2010\Common\Brand Management\Flowrox visual and logos\Logos\W-logo.jpg"/>
                        <pic:cNvPicPr>
                          <a:picLocks noChangeAspect="1" noChangeArrowheads="1"/>
                        </pic:cNvPicPr>
                      </pic:nvPicPr>
                      <pic:blipFill>
                        <a:blip r:embed="rId2"/>
                        <a:srcRect/>
                        <a:stretch>
                          <a:fillRect/>
                        </a:stretch>
                      </pic:blipFill>
                      <pic:spPr bwMode="auto">
                        <a:xfrm>
                          <a:off x="0" y="0"/>
                          <a:ext cx="1019175" cy="764381"/>
                        </a:xfrm>
                        <a:prstGeom prst="rect">
                          <a:avLst/>
                        </a:prstGeom>
                        <a:noFill/>
                        <a:ln w="9525">
                          <a:noFill/>
                          <a:miter lim="800000"/>
                          <a:headEnd/>
                          <a:tailEnd/>
                        </a:ln>
                      </pic:spPr>
                    </pic:pic>
                  </a:graphicData>
                </a:graphic>
              </wp:inline>
            </w:drawing>
          </w:r>
        </w:p>
      </w:tc>
    </w:tr>
  </w:tbl>
  <w:p w:rsidR="00F10E35" w:rsidRPr="001B65FD" w:rsidRDefault="00F10E35" w:rsidP="00F61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98" w:rsidRDefault="00E90698" w:rsidP="001B65FD">
      <w:pPr>
        <w:spacing w:after="0" w:line="240" w:lineRule="auto"/>
      </w:pPr>
      <w:r>
        <w:separator/>
      </w:r>
    </w:p>
  </w:footnote>
  <w:footnote w:type="continuationSeparator" w:id="0">
    <w:p w:rsidR="00E90698" w:rsidRDefault="00E90698" w:rsidP="001B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35" w:rsidRPr="005A7157" w:rsidRDefault="00FE117C" w:rsidP="001B65FD">
    <w:pPr>
      <w:pStyle w:val="Header"/>
      <w:ind w:left="-851"/>
      <w:rPr>
        <w:rFonts w:ascii="Trebuchet MS" w:hAnsi="Trebuchet MS"/>
        <w:lang w:val="en-US"/>
      </w:rPr>
    </w:pPr>
    <w:r>
      <w:rPr>
        <w:lang w:val="en-US"/>
      </w:rPr>
      <w:t>6/30/14</w:t>
    </w:r>
    <w:r w:rsidR="00C37B71" w:rsidRPr="00C37B71">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62.95pt;margin-top:-31.25pt;width:171.7pt;height:51.8pt;z-index:25165824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" strokecolor="white [3212]">
          <v:textbox style="mso-fit-shape-to-text:t">
            <w:txbxContent>
              <w:p w:rsidR="00F10E35" w:rsidRDefault="00F10E35" w:rsidP="00D77325">
                <w:r w:rsidRPr="00D77325">
                  <w:rPr>
                    <w:noProof/>
                    <w:lang w:eastAsia="fi-FI"/>
                  </w:rPr>
                  <w:drawing>
                    <wp:inline distT="0" distB="0" distL="0" distR="0">
                      <wp:extent cx="1992630" cy="405006"/>
                      <wp:effectExtent l="19050" t="0" r="7620" b="0"/>
                      <wp:docPr id="7" name="Picture 1" descr="L:\Marketing_2010\Common\Brand Management\Flowrox visual and logos\Logos\flowr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_2010\Common\Brand Management\Flowrox visual and logos\Logos\flowrox_logo.jpg"/>
                              <pic:cNvPicPr>
                                <a:picLocks noChangeAspect="1" noChangeArrowheads="1"/>
                              </pic:cNvPicPr>
                            </pic:nvPicPr>
                            <pic:blipFill>
                              <a:blip r:embed="rId1"/>
                              <a:srcRect/>
                              <a:stretch>
                                <a:fillRect/>
                              </a:stretch>
                            </pic:blipFill>
                            <pic:spPr bwMode="auto">
                              <a:xfrm>
                                <a:off x="0" y="0"/>
                                <a:ext cx="1992630" cy="405006"/>
                              </a:xfrm>
                              <a:prstGeom prst="rect">
                                <a:avLst/>
                              </a:prstGeom>
                              <a:noFill/>
                              <a:ln w="9525">
                                <a:noFill/>
                                <a:miter lim="800000"/>
                                <a:headEnd/>
                                <a:tailEnd/>
                              </a:ln>
                            </pic:spPr>
                          </pic:pic>
                        </a:graphicData>
                      </a:graphic>
                    </wp:inline>
                  </w:drawing>
                </w:r>
              </w:p>
            </w:txbxContent>
          </v:textbox>
        </v:shape>
      </w:pict>
    </w:r>
    <w:r w:rsidR="00F10E35" w:rsidRPr="005A7157">
      <w:rPr>
        <w:lang w:val="en-US"/>
      </w:rPr>
      <w:tab/>
    </w:r>
    <w:r w:rsidR="00F10E35" w:rsidRPr="005A7157">
      <w:rPr>
        <w:lang w:val="en-US"/>
      </w:rPr>
      <w:tab/>
    </w:r>
    <w:r w:rsidR="005A7157">
      <w:rPr>
        <w:rFonts w:ascii="Trebuchet MS" w:hAnsi="Trebuchet MS"/>
        <w:lang w:val="en-US"/>
      </w:rPr>
      <w:t>Press release</w:t>
    </w:r>
    <w:r w:rsidR="00F10E35" w:rsidRPr="005A7157">
      <w:rPr>
        <w:rFonts w:ascii="Trebuchet MS" w:hAnsi="Trebuchet MS"/>
        <w:lang w:val="en-US"/>
      </w:rPr>
      <w:t xml:space="preserve"> </w:t>
    </w:r>
  </w:p>
  <w:p w:rsidR="00F10E35" w:rsidRPr="005A7157" w:rsidRDefault="00F10E35" w:rsidP="001B65FD">
    <w:pPr>
      <w:pStyle w:val="Header"/>
      <w:ind w:left="-851"/>
      <w:rPr>
        <w:rFonts w:ascii="Trebuchet MS" w:hAnsi="Trebuchet MS"/>
        <w:lang w:val="en-US"/>
      </w:rPr>
    </w:pPr>
  </w:p>
  <w:p w:rsidR="00F10E35" w:rsidRPr="005A7157" w:rsidRDefault="00F10E35" w:rsidP="001B65FD">
    <w:pPr>
      <w:pStyle w:val="Header"/>
      <w:ind w:left="-851"/>
      <w:rPr>
        <w:rFonts w:ascii="Trebuchet MS" w:hAnsi="Trebuchet MS"/>
        <w:lang w:val="en-US"/>
      </w:rPr>
    </w:pPr>
    <w:r w:rsidRPr="005A7157">
      <w:rPr>
        <w:rFonts w:ascii="Trebuchet MS" w:hAnsi="Trebuchet MS"/>
        <w:lang w:val="en-US"/>
      </w:rPr>
      <w:tab/>
    </w:r>
    <w:r w:rsidRPr="005A7157">
      <w:rPr>
        <w:rFonts w:ascii="Trebuchet MS" w:hAnsi="Trebuchet MS"/>
        <w:lang w:val="en-US"/>
      </w:rPr>
      <w:tab/>
    </w:r>
    <w:r w:rsidR="00FE117C">
      <w:rPr>
        <w:rFonts w:ascii="Trebuchet MS" w:hAnsi="Trebuchet MS"/>
        <w:lang w:val="en-US"/>
      </w:rPr>
      <w:t>30-Jun-14</w:t>
    </w:r>
  </w:p>
  <w:p w:rsidR="00F10E35" w:rsidRPr="005A7157" w:rsidRDefault="00F10E35" w:rsidP="001B65FD">
    <w:pPr>
      <w:pStyle w:val="Header"/>
      <w:ind w:left="-851"/>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28A"/>
    <w:multiLevelType w:val="hybridMultilevel"/>
    <w:tmpl w:val="C1763C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2662591"/>
    <w:multiLevelType w:val="hybridMultilevel"/>
    <w:tmpl w:val="8F1A77C6"/>
    <w:lvl w:ilvl="0" w:tplc="AB763C5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5FB6CC6"/>
    <w:multiLevelType w:val="hybridMultilevel"/>
    <w:tmpl w:val="6B64429A"/>
    <w:lvl w:ilvl="0" w:tplc="BFFCDA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0715B"/>
    <w:rsid w:val="000525CD"/>
    <w:rsid w:val="00066384"/>
    <w:rsid w:val="000717B8"/>
    <w:rsid w:val="000A4C09"/>
    <w:rsid w:val="000B6910"/>
    <w:rsid w:val="000C6EAA"/>
    <w:rsid w:val="000E365B"/>
    <w:rsid w:val="00121A7A"/>
    <w:rsid w:val="00154E4A"/>
    <w:rsid w:val="001710FB"/>
    <w:rsid w:val="001833E8"/>
    <w:rsid w:val="00193324"/>
    <w:rsid w:val="0019346E"/>
    <w:rsid w:val="001A3B20"/>
    <w:rsid w:val="001A5F4D"/>
    <w:rsid w:val="001B0D78"/>
    <w:rsid w:val="001B65FD"/>
    <w:rsid w:val="001D1FB9"/>
    <w:rsid w:val="00200637"/>
    <w:rsid w:val="00205854"/>
    <w:rsid w:val="0021006F"/>
    <w:rsid w:val="0021266C"/>
    <w:rsid w:val="00246319"/>
    <w:rsid w:val="002545D9"/>
    <w:rsid w:val="002657F3"/>
    <w:rsid w:val="00272D58"/>
    <w:rsid w:val="00284D64"/>
    <w:rsid w:val="002C5A9D"/>
    <w:rsid w:val="00352B59"/>
    <w:rsid w:val="00371CA7"/>
    <w:rsid w:val="003A36CE"/>
    <w:rsid w:val="003A48A7"/>
    <w:rsid w:val="003A4CF5"/>
    <w:rsid w:val="003A6F2A"/>
    <w:rsid w:val="003C112A"/>
    <w:rsid w:val="003C70B0"/>
    <w:rsid w:val="003D3644"/>
    <w:rsid w:val="003E169D"/>
    <w:rsid w:val="00412391"/>
    <w:rsid w:val="00427A7F"/>
    <w:rsid w:val="004361F7"/>
    <w:rsid w:val="00486E94"/>
    <w:rsid w:val="004A6D57"/>
    <w:rsid w:val="004A70C6"/>
    <w:rsid w:val="004B3CCB"/>
    <w:rsid w:val="0051714D"/>
    <w:rsid w:val="00546E25"/>
    <w:rsid w:val="00572E3B"/>
    <w:rsid w:val="005949A0"/>
    <w:rsid w:val="005A1BFD"/>
    <w:rsid w:val="005A7157"/>
    <w:rsid w:val="005B6D3B"/>
    <w:rsid w:val="006058D5"/>
    <w:rsid w:val="0060715B"/>
    <w:rsid w:val="006A30BC"/>
    <w:rsid w:val="006D5BA2"/>
    <w:rsid w:val="006E1CAC"/>
    <w:rsid w:val="006F5F54"/>
    <w:rsid w:val="00707627"/>
    <w:rsid w:val="00707CEB"/>
    <w:rsid w:val="0074370A"/>
    <w:rsid w:val="00790CEC"/>
    <w:rsid w:val="007B4DF6"/>
    <w:rsid w:val="007E0054"/>
    <w:rsid w:val="007F1F60"/>
    <w:rsid w:val="00855678"/>
    <w:rsid w:val="00862A97"/>
    <w:rsid w:val="00897912"/>
    <w:rsid w:val="008C77FC"/>
    <w:rsid w:val="008D7008"/>
    <w:rsid w:val="008E6BCC"/>
    <w:rsid w:val="00903451"/>
    <w:rsid w:val="00905623"/>
    <w:rsid w:val="00920486"/>
    <w:rsid w:val="00945834"/>
    <w:rsid w:val="00945B0B"/>
    <w:rsid w:val="00947BE5"/>
    <w:rsid w:val="00983567"/>
    <w:rsid w:val="009D3005"/>
    <w:rsid w:val="00A10A47"/>
    <w:rsid w:val="00A11DB0"/>
    <w:rsid w:val="00A63AD6"/>
    <w:rsid w:val="00A6676F"/>
    <w:rsid w:val="00A83287"/>
    <w:rsid w:val="00AA71C3"/>
    <w:rsid w:val="00AB62C8"/>
    <w:rsid w:val="00AC5015"/>
    <w:rsid w:val="00AD1E0E"/>
    <w:rsid w:val="00AD6C24"/>
    <w:rsid w:val="00AE3144"/>
    <w:rsid w:val="00AE766F"/>
    <w:rsid w:val="00B050DF"/>
    <w:rsid w:val="00B13AF9"/>
    <w:rsid w:val="00B32FCB"/>
    <w:rsid w:val="00B51AD9"/>
    <w:rsid w:val="00B66235"/>
    <w:rsid w:val="00B95D1D"/>
    <w:rsid w:val="00BC624C"/>
    <w:rsid w:val="00BF65D7"/>
    <w:rsid w:val="00BF6B48"/>
    <w:rsid w:val="00C14662"/>
    <w:rsid w:val="00C14860"/>
    <w:rsid w:val="00C16E43"/>
    <w:rsid w:val="00C348C5"/>
    <w:rsid w:val="00C37B71"/>
    <w:rsid w:val="00C46F5F"/>
    <w:rsid w:val="00C51BCA"/>
    <w:rsid w:val="00C6267C"/>
    <w:rsid w:val="00C65D05"/>
    <w:rsid w:val="00C9627D"/>
    <w:rsid w:val="00CA41B4"/>
    <w:rsid w:val="00CA5BFB"/>
    <w:rsid w:val="00CB6492"/>
    <w:rsid w:val="00CD4B31"/>
    <w:rsid w:val="00CF2234"/>
    <w:rsid w:val="00D44819"/>
    <w:rsid w:val="00D77325"/>
    <w:rsid w:val="00D96F9C"/>
    <w:rsid w:val="00DE4537"/>
    <w:rsid w:val="00DF643E"/>
    <w:rsid w:val="00DF672A"/>
    <w:rsid w:val="00E01B2F"/>
    <w:rsid w:val="00E07AD2"/>
    <w:rsid w:val="00E24443"/>
    <w:rsid w:val="00E44F08"/>
    <w:rsid w:val="00E60EC7"/>
    <w:rsid w:val="00E75226"/>
    <w:rsid w:val="00E90698"/>
    <w:rsid w:val="00EE74ED"/>
    <w:rsid w:val="00EF53BD"/>
    <w:rsid w:val="00F10E35"/>
    <w:rsid w:val="00F25F80"/>
    <w:rsid w:val="00F54445"/>
    <w:rsid w:val="00F61BAF"/>
    <w:rsid w:val="00FE0174"/>
    <w:rsid w:val="00FE0569"/>
    <w:rsid w:val="00FE117C"/>
    <w:rsid w:val="00FF28C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5FD"/>
  </w:style>
  <w:style w:type="paragraph" w:styleId="Footer">
    <w:name w:val="footer"/>
    <w:basedOn w:val="Normal"/>
    <w:link w:val="FooterChar"/>
    <w:unhideWhenUsed/>
    <w:rsid w:val="001B65FD"/>
    <w:pPr>
      <w:tabs>
        <w:tab w:val="center" w:pos="4680"/>
        <w:tab w:val="right" w:pos="9360"/>
      </w:tabs>
      <w:spacing w:after="0" w:line="240" w:lineRule="auto"/>
    </w:pPr>
  </w:style>
  <w:style w:type="character" w:customStyle="1" w:styleId="FooterChar">
    <w:name w:val="Footer Char"/>
    <w:basedOn w:val="DefaultParagraphFont"/>
    <w:link w:val="Footer"/>
    <w:rsid w:val="001B65FD"/>
  </w:style>
  <w:style w:type="paragraph" w:styleId="BalloonText">
    <w:name w:val="Balloon Text"/>
    <w:basedOn w:val="Normal"/>
    <w:link w:val="BalloonTextChar"/>
    <w:uiPriority w:val="99"/>
    <w:semiHidden/>
    <w:unhideWhenUsed/>
    <w:rsid w:val="001B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FD"/>
    <w:rPr>
      <w:rFonts w:ascii="Tahoma" w:hAnsi="Tahoma" w:cs="Tahoma"/>
      <w:sz w:val="16"/>
      <w:szCs w:val="16"/>
    </w:rPr>
  </w:style>
  <w:style w:type="paragraph" w:customStyle="1" w:styleId="FooterFirst">
    <w:name w:val="FooterFirst"/>
    <w:basedOn w:val="Footer"/>
    <w:next w:val="Footer"/>
    <w:rsid w:val="000525CD"/>
    <w:pPr>
      <w:tabs>
        <w:tab w:val="clear" w:pos="4680"/>
        <w:tab w:val="clear" w:pos="9360"/>
      </w:tabs>
      <w:overflowPunct w:val="0"/>
      <w:autoSpaceDE w:val="0"/>
      <w:autoSpaceDN w:val="0"/>
      <w:adjustRightInd w:val="0"/>
      <w:spacing w:before="40"/>
      <w:textAlignment w:val="baseline"/>
    </w:pPr>
    <w:rPr>
      <w:rFonts w:ascii="Arial" w:eastAsia="Times New Roman" w:hAnsi="Arial" w:cs="Times New Roman"/>
      <w:sz w:val="16"/>
      <w:szCs w:val="20"/>
      <w:lang w:val="en-GB"/>
    </w:rPr>
  </w:style>
  <w:style w:type="character" w:styleId="Hyperlink">
    <w:name w:val="Hyperlink"/>
    <w:basedOn w:val="DefaultParagraphFont"/>
    <w:rsid w:val="000525CD"/>
    <w:rPr>
      <w:color w:val="0000FF"/>
      <w:u w:val="single"/>
    </w:rPr>
  </w:style>
  <w:style w:type="paragraph" w:styleId="ListParagraph">
    <w:name w:val="List Paragraph"/>
    <w:basedOn w:val="Normal"/>
    <w:uiPriority w:val="34"/>
    <w:qFormat/>
    <w:rsid w:val="00D44819"/>
    <w:pPr>
      <w:ind w:left="720"/>
      <w:contextualSpacing/>
    </w:pPr>
  </w:style>
  <w:style w:type="paragraph" w:styleId="NormalWeb">
    <w:name w:val="Normal (Web)"/>
    <w:basedOn w:val="Normal"/>
    <w:uiPriority w:val="99"/>
    <w:unhideWhenUsed/>
    <w:rsid w:val="00200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wr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lowr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C60FB-E991-4F06-B602-9DB5E23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312</Words>
  <Characters>1789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Flowrox</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lotta.snicker</dc:creator>
  <cp:lastModifiedBy>lotta.snicker</cp:lastModifiedBy>
  <cp:revision>6</cp:revision>
  <cp:lastPrinted>2014-06-16T11:45:00Z</cp:lastPrinted>
  <dcterms:created xsi:type="dcterms:W3CDTF">2014-06-30T12:08:00Z</dcterms:created>
  <dcterms:modified xsi:type="dcterms:W3CDTF">2014-06-30T12:28:00Z</dcterms:modified>
</cp:coreProperties>
</file>