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03" w:rsidRDefault="008F127D" w:rsidP="008F127D">
      <w:pPr>
        <w:pStyle w:val="Rubrik2"/>
      </w:pPr>
      <w:bookmarkStart w:id="0" w:name="Start"/>
      <w:bookmarkEnd w:id="0"/>
      <w:r>
        <w:t>Pressmeddelande</w:t>
      </w:r>
    </w:p>
    <w:p w:rsidR="008F127D" w:rsidRDefault="008F127D" w:rsidP="005E30CA">
      <w:r>
        <w:t>2017-12-</w:t>
      </w:r>
      <w:r w:rsidR="00FF0FEC">
        <w:t>04</w:t>
      </w:r>
    </w:p>
    <w:p w:rsidR="008F127D" w:rsidRDefault="008F127D" w:rsidP="005E30CA"/>
    <w:p w:rsidR="008F127D" w:rsidRDefault="008F127D" w:rsidP="00AE6F2C">
      <w:pPr>
        <w:pStyle w:val="Rubrik1"/>
      </w:pPr>
      <w:r>
        <w:t xml:space="preserve">Midroc bygger </w:t>
      </w:r>
      <w:r w:rsidR="00AE6F2C">
        <w:t>38 nya bostadsrätter</w:t>
      </w:r>
      <w:r>
        <w:t xml:space="preserve"> i Trelleborg</w:t>
      </w:r>
    </w:p>
    <w:p w:rsidR="008F127D" w:rsidRDefault="008F127D" w:rsidP="005E30CA"/>
    <w:p w:rsidR="008F127D" w:rsidRDefault="00AE6F2C" w:rsidP="008F127D">
      <w:pPr>
        <w:rPr>
          <w:i/>
          <w:sz w:val="22"/>
          <w:szCs w:val="22"/>
        </w:rPr>
      </w:pPr>
      <w:r>
        <w:rPr>
          <w:i/>
          <w:sz w:val="22"/>
          <w:szCs w:val="22"/>
        </w:rPr>
        <w:t xml:space="preserve">Mitt i centrala Trelleborg uppför Midroc två flerbostadshus med totalt 38 lägenheter. Om ett år står bostäderna klara för inflyttning.  </w:t>
      </w:r>
    </w:p>
    <w:p w:rsidR="008F127D" w:rsidRDefault="008F127D" w:rsidP="008F127D">
      <w:pPr>
        <w:rPr>
          <w:i/>
          <w:sz w:val="22"/>
          <w:szCs w:val="22"/>
        </w:rPr>
      </w:pPr>
    </w:p>
    <w:p w:rsidR="008F127D" w:rsidRPr="000B6455" w:rsidRDefault="008F127D" w:rsidP="008F127D">
      <w:pPr>
        <w:rPr>
          <w:sz w:val="22"/>
          <w:szCs w:val="22"/>
        </w:rPr>
      </w:pPr>
      <w:r w:rsidRPr="00287DDC">
        <w:rPr>
          <w:sz w:val="22"/>
          <w:szCs w:val="22"/>
        </w:rPr>
        <w:t xml:space="preserve">- </w:t>
      </w:r>
      <w:r w:rsidR="000B6455">
        <w:rPr>
          <w:sz w:val="22"/>
          <w:szCs w:val="22"/>
        </w:rPr>
        <w:t>Som entreprenör i det här projektet säkerställer vi leverans med hög kvalitet, på utsatt tid och till en säkerställd kostnad</w:t>
      </w:r>
      <w:r w:rsidR="00963AB8" w:rsidRPr="00287DDC">
        <w:rPr>
          <w:sz w:val="22"/>
          <w:szCs w:val="22"/>
        </w:rPr>
        <w:t xml:space="preserve">, </w:t>
      </w:r>
      <w:r w:rsidR="00287DDC" w:rsidRPr="00287DDC">
        <w:rPr>
          <w:sz w:val="22"/>
          <w:szCs w:val="22"/>
        </w:rPr>
        <w:t xml:space="preserve">säger Björn Niklasson, distriktschef </w:t>
      </w:r>
      <w:r w:rsidR="000B6455">
        <w:rPr>
          <w:sz w:val="22"/>
          <w:szCs w:val="22"/>
        </w:rPr>
        <w:t>på</w:t>
      </w:r>
      <w:r w:rsidR="00287DDC" w:rsidRPr="00287DDC">
        <w:rPr>
          <w:sz w:val="22"/>
          <w:szCs w:val="22"/>
        </w:rPr>
        <w:t xml:space="preserve"> Midroc Construction som ansvarar för byggentreprenaden. </w:t>
      </w:r>
      <w:r w:rsidR="000B6455" w:rsidRPr="000B6455">
        <w:rPr>
          <w:sz w:val="22"/>
          <w:szCs w:val="22"/>
        </w:rPr>
        <w:t>Det är väldigt roligt att se att de insatser vi som totalentreprenör gör i tidiga skeden resulterar i högkvalitativa boendemiljöer.</w:t>
      </w:r>
    </w:p>
    <w:p w:rsidR="00287DDC" w:rsidRPr="00287DDC" w:rsidRDefault="00287DDC" w:rsidP="008F127D">
      <w:pPr>
        <w:rPr>
          <w:sz w:val="22"/>
          <w:szCs w:val="22"/>
        </w:rPr>
      </w:pPr>
    </w:p>
    <w:p w:rsidR="0011670B" w:rsidRDefault="000B6455" w:rsidP="008F127D">
      <w:pPr>
        <w:rPr>
          <w:sz w:val="22"/>
          <w:szCs w:val="22"/>
        </w:rPr>
      </w:pPr>
      <w:r w:rsidRPr="00287DDC">
        <w:rPr>
          <w:sz w:val="22"/>
          <w:szCs w:val="22"/>
        </w:rPr>
        <w:t xml:space="preserve">Just nu pågår </w:t>
      </w:r>
      <w:r>
        <w:rPr>
          <w:sz w:val="22"/>
          <w:szCs w:val="22"/>
        </w:rPr>
        <w:t xml:space="preserve">stomresning med gjutning av betongbjälklag och montering av väggar. </w:t>
      </w:r>
      <w:r w:rsidR="00011534" w:rsidRPr="00287DDC">
        <w:rPr>
          <w:sz w:val="22"/>
          <w:szCs w:val="22"/>
        </w:rPr>
        <w:t>De båda punkthusen uppförs i fem plan och innehåller 38 bostadsrätter, 2-4 rum och kök stora.</w:t>
      </w:r>
      <w:r w:rsidR="00287DDC" w:rsidRPr="00287DDC">
        <w:rPr>
          <w:sz w:val="22"/>
          <w:szCs w:val="22"/>
        </w:rPr>
        <w:t xml:space="preserve"> </w:t>
      </w:r>
      <w:r w:rsidR="00011534">
        <w:rPr>
          <w:sz w:val="22"/>
          <w:szCs w:val="22"/>
        </w:rPr>
        <w:t xml:space="preserve">De </w:t>
      </w:r>
      <w:r w:rsidR="00287DDC" w:rsidRPr="00287DDC">
        <w:rPr>
          <w:sz w:val="22"/>
          <w:szCs w:val="22"/>
        </w:rPr>
        <w:t xml:space="preserve">får klassiska tegelfasader och </w:t>
      </w:r>
      <w:r w:rsidR="00E97782">
        <w:rPr>
          <w:sz w:val="22"/>
          <w:szCs w:val="22"/>
        </w:rPr>
        <w:t xml:space="preserve">många av lägenheterna får </w:t>
      </w:r>
      <w:r w:rsidR="00287DDC" w:rsidRPr="00287DDC">
        <w:rPr>
          <w:sz w:val="22"/>
          <w:szCs w:val="22"/>
        </w:rPr>
        <w:t xml:space="preserve">indragna balkonger. </w:t>
      </w:r>
      <w:r w:rsidR="0011670B" w:rsidRPr="00287DDC">
        <w:rPr>
          <w:sz w:val="22"/>
          <w:szCs w:val="22"/>
        </w:rPr>
        <w:t>Under byggnaderna finns e</w:t>
      </w:r>
      <w:r w:rsidR="00287DDC">
        <w:rPr>
          <w:sz w:val="22"/>
          <w:szCs w:val="22"/>
        </w:rPr>
        <w:t>tt</w:t>
      </w:r>
      <w:r w:rsidR="0011670B" w:rsidRPr="00287DDC">
        <w:rPr>
          <w:sz w:val="22"/>
          <w:szCs w:val="22"/>
        </w:rPr>
        <w:t xml:space="preserve"> garage och mellan dem en gemensam innergård. </w:t>
      </w:r>
      <w:r w:rsidRPr="00FA7AC5">
        <w:rPr>
          <w:sz w:val="22"/>
          <w:szCs w:val="22"/>
        </w:rPr>
        <w:t xml:space="preserve">I </w:t>
      </w:r>
      <w:r w:rsidR="00FA7AC5" w:rsidRPr="00FA7AC5">
        <w:rPr>
          <w:sz w:val="22"/>
          <w:szCs w:val="22"/>
        </w:rPr>
        <w:t xml:space="preserve">den ena </w:t>
      </w:r>
      <w:r w:rsidRPr="00FA7AC5">
        <w:rPr>
          <w:sz w:val="22"/>
          <w:szCs w:val="22"/>
        </w:rPr>
        <w:t>byggnaden finns även lokaler på bottenplan.</w:t>
      </w:r>
      <w:r>
        <w:rPr>
          <w:sz w:val="22"/>
          <w:szCs w:val="22"/>
        </w:rPr>
        <w:t xml:space="preserve"> </w:t>
      </w:r>
    </w:p>
    <w:p w:rsidR="00287DDC" w:rsidRPr="00287DDC" w:rsidRDefault="00287DDC" w:rsidP="008F127D">
      <w:pPr>
        <w:rPr>
          <w:sz w:val="22"/>
          <w:szCs w:val="22"/>
        </w:rPr>
      </w:pPr>
    </w:p>
    <w:p w:rsidR="008F127D" w:rsidRPr="00287DDC" w:rsidRDefault="00287DDC" w:rsidP="008F127D">
      <w:pPr>
        <w:rPr>
          <w:sz w:val="22"/>
          <w:szCs w:val="22"/>
        </w:rPr>
      </w:pPr>
      <w:r>
        <w:rPr>
          <w:sz w:val="22"/>
          <w:szCs w:val="22"/>
        </w:rPr>
        <w:t xml:space="preserve">Bostadsrättsföreningen Stadsparkhusen </w:t>
      </w:r>
      <w:r w:rsidR="000B6455">
        <w:rPr>
          <w:sz w:val="22"/>
          <w:szCs w:val="22"/>
        </w:rPr>
        <w:t>blir</w:t>
      </w:r>
      <w:r>
        <w:rPr>
          <w:sz w:val="22"/>
          <w:szCs w:val="22"/>
        </w:rPr>
        <w:t xml:space="preserve"> </w:t>
      </w:r>
      <w:r w:rsidR="00D3708A" w:rsidRPr="00287DDC">
        <w:rPr>
          <w:sz w:val="22"/>
          <w:szCs w:val="22"/>
        </w:rPr>
        <w:t>centralt beläg</w:t>
      </w:r>
      <w:r w:rsidR="000B6455">
        <w:rPr>
          <w:sz w:val="22"/>
          <w:szCs w:val="22"/>
        </w:rPr>
        <w:t>en</w:t>
      </w:r>
      <w:r w:rsidR="00D3708A" w:rsidRPr="00287DDC">
        <w:rPr>
          <w:sz w:val="22"/>
          <w:szCs w:val="22"/>
        </w:rPr>
        <w:t xml:space="preserve"> </w:t>
      </w:r>
      <w:r>
        <w:rPr>
          <w:sz w:val="22"/>
          <w:szCs w:val="22"/>
        </w:rPr>
        <w:t>in</w:t>
      </w:r>
      <w:r w:rsidR="00D3708A" w:rsidRPr="00287DDC">
        <w:rPr>
          <w:sz w:val="22"/>
          <w:szCs w:val="22"/>
        </w:rPr>
        <w:t>vid stadsparken med närhet till butiker, bibliotek, buss</w:t>
      </w:r>
      <w:r w:rsidR="0011670B" w:rsidRPr="00287DDC">
        <w:rPr>
          <w:sz w:val="22"/>
          <w:szCs w:val="22"/>
        </w:rPr>
        <w:t>-</w:t>
      </w:r>
      <w:r w:rsidR="00D3708A" w:rsidRPr="00287DDC">
        <w:rPr>
          <w:sz w:val="22"/>
          <w:szCs w:val="22"/>
        </w:rPr>
        <w:t xml:space="preserve"> och tågstation</w:t>
      </w:r>
      <w:r w:rsidR="0011670B" w:rsidRPr="00287DDC">
        <w:rPr>
          <w:sz w:val="22"/>
          <w:szCs w:val="22"/>
        </w:rPr>
        <w:t xml:space="preserve">. </w:t>
      </w:r>
    </w:p>
    <w:p w:rsidR="0011670B" w:rsidRPr="00287DDC" w:rsidRDefault="0011670B" w:rsidP="008F127D">
      <w:pPr>
        <w:pStyle w:val="Oformateradtext"/>
        <w:rPr>
          <w:rFonts w:ascii="Times New Roman" w:hAnsi="Times New Roman" w:cs="Times New Roman"/>
          <w:szCs w:val="22"/>
        </w:rPr>
      </w:pPr>
    </w:p>
    <w:p w:rsidR="008F127D" w:rsidRPr="00287DDC" w:rsidRDefault="008F127D" w:rsidP="008F127D">
      <w:pPr>
        <w:pStyle w:val="Oformateradtext"/>
        <w:rPr>
          <w:rFonts w:ascii="Times New Roman" w:hAnsi="Times New Roman" w:cs="Times New Roman"/>
          <w:szCs w:val="22"/>
        </w:rPr>
      </w:pPr>
      <w:r w:rsidRPr="00287DDC">
        <w:rPr>
          <w:rFonts w:ascii="Times New Roman" w:hAnsi="Times New Roman" w:cs="Times New Roman"/>
          <w:szCs w:val="22"/>
        </w:rPr>
        <w:t>- Det är väldigt roligt att få vara med och utveckla Trelleborgs centrum</w:t>
      </w:r>
      <w:r w:rsidR="000B6455">
        <w:rPr>
          <w:rFonts w:ascii="Times New Roman" w:hAnsi="Times New Roman" w:cs="Times New Roman"/>
          <w:szCs w:val="22"/>
        </w:rPr>
        <w:t>,</w:t>
      </w:r>
      <w:r w:rsidRPr="00287DDC">
        <w:rPr>
          <w:rFonts w:ascii="Times New Roman" w:hAnsi="Times New Roman" w:cs="Times New Roman"/>
          <w:szCs w:val="22"/>
        </w:rPr>
        <w:t xml:space="preserve"> säger Anders Koch, affärschef på Midroc </w:t>
      </w:r>
      <w:proofErr w:type="spellStart"/>
      <w:r w:rsidRPr="00287DDC">
        <w:rPr>
          <w:rFonts w:ascii="Times New Roman" w:hAnsi="Times New Roman" w:cs="Times New Roman"/>
          <w:szCs w:val="22"/>
        </w:rPr>
        <w:t>Properties</w:t>
      </w:r>
      <w:proofErr w:type="spellEnd"/>
      <w:r w:rsidR="00AE6F2C" w:rsidRPr="00287DDC">
        <w:rPr>
          <w:rFonts w:ascii="Times New Roman" w:hAnsi="Times New Roman" w:cs="Times New Roman"/>
          <w:szCs w:val="22"/>
        </w:rPr>
        <w:t xml:space="preserve"> som utvecklar de nya bostadsrätterna</w:t>
      </w:r>
      <w:r w:rsidRPr="00287DDC">
        <w:rPr>
          <w:rFonts w:ascii="Times New Roman" w:hAnsi="Times New Roman" w:cs="Times New Roman"/>
          <w:szCs w:val="22"/>
        </w:rPr>
        <w:t xml:space="preserve">. </w:t>
      </w:r>
      <w:r w:rsidR="0011670B" w:rsidRPr="00287DDC">
        <w:rPr>
          <w:rFonts w:ascii="Times New Roman" w:hAnsi="Times New Roman" w:cs="Times New Roman"/>
          <w:szCs w:val="22"/>
        </w:rPr>
        <w:t>Eftersom det inte har byggts så många nya bostäder i Trelleborg</w:t>
      </w:r>
      <w:r w:rsidR="00287DDC">
        <w:rPr>
          <w:rFonts w:ascii="Times New Roman" w:hAnsi="Times New Roman" w:cs="Times New Roman"/>
          <w:szCs w:val="22"/>
        </w:rPr>
        <w:t xml:space="preserve"> </w:t>
      </w:r>
      <w:r w:rsidR="000B6455">
        <w:rPr>
          <w:rFonts w:ascii="Times New Roman" w:hAnsi="Times New Roman" w:cs="Times New Roman"/>
          <w:szCs w:val="22"/>
        </w:rPr>
        <w:t>på</w:t>
      </w:r>
      <w:r w:rsidR="00287DDC">
        <w:rPr>
          <w:rFonts w:ascii="Times New Roman" w:hAnsi="Times New Roman" w:cs="Times New Roman"/>
          <w:szCs w:val="22"/>
        </w:rPr>
        <w:t xml:space="preserve"> senare år</w:t>
      </w:r>
      <w:r w:rsidR="0011670B" w:rsidRPr="00287DDC">
        <w:rPr>
          <w:rFonts w:ascii="Times New Roman" w:hAnsi="Times New Roman" w:cs="Times New Roman"/>
          <w:szCs w:val="22"/>
        </w:rPr>
        <w:t xml:space="preserve"> är det ett välkommet tillskott</w:t>
      </w:r>
      <w:r w:rsidR="00287DDC">
        <w:rPr>
          <w:rFonts w:ascii="Times New Roman" w:hAnsi="Times New Roman" w:cs="Times New Roman"/>
          <w:szCs w:val="22"/>
        </w:rPr>
        <w:t xml:space="preserve">. </w:t>
      </w:r>
      <w:r w:rsidR="0011670B" w:rsidRPr="00287DDC">
        <w:rPr>
          <w:rFonts w:ascii="Times New Roman" w:hAnsi="Times New Roman" w:cs="Times New Roman"/>
          <w:szCs w:val="22"/>
        </w:rPr>
        <w:t xml:space="preserve">Med drygt ett år kvar till inflyttning är </w:t>
      </w:r>
      <w:r w:rsidR="00771AB5">
        <w:rPr>
          <w:rFonts w:ascii="Times New Roman" w:hAnsi="Times New Roman" w:cs="Times New Roman"/>
          <w:szCs w:val="22"/>
        </w:rPr>
        <w:t xml:space="preserve">redan </w:t>
      </w:r>
      <w:r w:rsidR="00963AB8" w:rsidRPr="00287DDC">
        <w:rPr>
          <w:rFonts w:ascii="Times New Roman" w:hAnsi="Times New Roman" w:cs="Times New Roman"/>
          <w:szCs w:val="22"/>
        </w:rPr>
        <w:t>80</w:t>
      </w:r>
      <w:r w:rsidR="0011670B" w:rsidRPr="00287DDC">
        <w:rPr>
          <w:rFonts w:ascii="Times New Roman" w:hAnsi="Times New Roman" w:cs="Times New Roman"/>
          <w:szCs w:val="22"/>
        </w:rPr>
        <w:t xml:space="preserve"> procent av bostäderna sålda. </w:t>
      </w:r>
    </w:p>
    <w:p w:rsidR="000B6455" w:rsidRDefault="000B6455" w:rsidP="000B6455"/>
    <w:p w:rsidR="008F127D" w:rsidRDefault="008F127D" w:rsidP="008F127D">
      <w:pPr>
        <w:pStyle w:val="Rubrik3"/>
      </w:pPr>
      <w:r>
        <w:t>Fakta</w:t>
      </w:r>
    </w:p>
    <w:p w:rsidR="008F127D" w:rsidRPr="000B6455" w:rsidRDefault="008F127D" w:rsidP="008F127D">
      <w:pPr>
        <w:rPr>
          <w:sz w:val="22"/>
          <w:szCs w:val="22"/>
        </w:rPr>
      </w:pPr>
      <w:r w:rsidRPr="000B6455">
        <w:rPr>
          <w:sz w:val="22"/>
          <w:szCs w:val="22"/>
        </w:rPr>
        <w:t xml:space="preserve">Byggherre: Midroc </w:t>
      </w:r>
      <w:proofErr w:type="spellStart"/>
      <w:r w:rsidRPr="000B6455">
        <w:rPr>
          <w:sz w:val="22"/>
          <w:szCs w:val="22"/>
        </w:rPr>
        <w:t>Properties</w:t>
      </w:r>
      <w:proofErr w:type="spellEnd"/>
    </w:p>
    <w:p w:rsidR="008F127D" w:rsidRPr="000B6455" w:rsidRDefault="008F127D" w:rsidP="008F127D">
      <w:pPr>
        <w:rPr>
          <w:sz w:val="22"/>
          <w:szCs w:val="22"/>
        </w:rPr>
      </w:pPr>
      <w:r w:rsidRPr="000B6455">
        <w:rPr>
          <w:sz w:val="22"/>
          <w:szCs w:val="22"/>
        </w:rPr>
        <w:t>Arkitekt: Arkitektlaget</w:t>
      </w:r>
    </w:p>
    <w:p w:rsidR="008F127D" w:rsidRPr="000B6455" w:rsidRDefault="008F127D" w:rsidP="008F127D">
      <w:pPr>
        <w:rPr>
          <w:sz w:val="22"/>
          <w:szCs w:val="22"/>
        </w:rPr>
      </w:pPr>
      <w:r w:rsidRPr="000B6455">
        <w:rPr>
          <w:sz w:val="22"/>
          <w:szCs w:val="22"/>
        </w:rPr>
        <w:t xml:space="preserve">Totalentreprenör: Midroc Construction </w:t>
      </w:r>
    </w:p>
    <w:p w:rsidR="00AE6F2C" w:rsidRPr="000B6455" w:rsidRDefault="008F127D" w:rsidP="008F127D">
      <w:pPr>
        <w:rPr>
          <w:sz w:val="22"/>
          <w:szCs w:val="22"/>
        </w:rPr>
      </w:pPr>
      <w:r w:rsidRPr="000B6455">
        <w:rPr>
          <w:sz w:val="22"/>
          <w:szCs w:val="22"/>
        </w:rPr>
        <w:t xml:space="preserve">Antal bostäder: </w:t>
      </w:r>
      <w:r w:rsidR="000B6455">
        <w:rPr>
          <w:sz w:val="22"/>
          <w:szCs w:val="22"/>
        </w:rPr>
        <w:t>38 bostadsrätter</w:t>
      </w:r>
    </w:p>
    <w:p w:rsidR="008F127D" w:rsidRPr="0011670B" w:rsidRDefault="008F127D" w:rsidP="008F127D">
      <w:pPr>
        <w:rPr>
          <w:sz w:val="22"/>
          <w:szCs w:val="22"/>
        </w:rPr>
      </w:pPr>
      <w:r w:rsidRPr="0011670B">
        <w:rPr>
          <w:sz w:val="22"/>
          <w:szCs w:val="22"/>
        </w:rPr>
        <w:t>Bo</w:t>
      </w:r>
      <w:r w:rsidR="0011670B" w:rsidRPr="0011670B">
        <w:rPr>
          <w:sz w:val="22"/>
          <w:szCs w:val="22"/>
        </w:rPr>
        <w:t xml:space="preserve">- och </w:t>
      </w:r>
      <w:proofErr w:type="spellStart"/>
      <w:r w:rsidR="0011670B" w:rsidRPr="0011670B">
        <w:rPr>
          <w:sz w:val="22"/>
          <w:szCs w:val="22"/>
        </w:rPr>
        <w:t>lokalarea</w:t>
      </w:r>
      <w:proofErr w:type="spellEnd"/>
      <w:r w:rsidR="0011670B" w:rsidRPr="0011670B">
        <w:rPr>
          <w:sz w:val="22"/>
          <w:szCs w:val="22"/>
        </w:rPr>
        <w:t xml:space="preserve">: knappt 4 000 </w:t>
      </w:r>
      <w:r w:rsidRPr="0011670B">
        <w:rPr>
          <w:sz w:val="22"/>
          <w:szCs w:val="22"/>
        </w:rPr>
        <w:t>kvadratmeter</w:t>
      </w:r>
    </w:p>
    <w:p w:rsidR="008F127D" w:rsidRDefault="000B6455" w:rsidP="008F127D">
      <w:pPr>
        <w:rPr>
          <w:sz w:val="22"/>
          <w:szCs w:val="22"/>
        </w:rPr>
      </w:pPr>
      <w:r>
        <w:rPr>
          <w:sz w:val="22"/>
          <w:szCs w:val="22"/>
        </w:rPr>
        <w:t>Entreprenadens o</w:t>
      </w:r>
      <w:r w:rsidR="008F127D">
        <w:rPr>
          <w:sz w:val="22"/>
          <w:szCs w:val="22"/>
        </w:rPr>
        <w:t>rder</w:t>
      </w:r>
      <w:r>
        <w:rPr>
          <w:sz w:val="22"/>
          <w:szCs w:val="22"/>
        </w:rPr>
        <w:t>summa: drygt 60</w:t>
      </w:r>
      <w:r w:rsidR="008F127D" w:rsidRPr="00EF5CFF">
        <w:rPr>
          <w:sz w:val="22"/>
          <w:szCs w:val="22"/>
        </w:rPr>
        <w:t xml:space="preserve"> miljoner kronor</w:t>
      </w:r>
    </w:p>
    <w:p w:rsidR="0011670B" w:rsidRPr="00EF5CFF" w:rsidRDefault="0011670B" w:rsidP="008F127D">
      <w:pPr>
        <w:rPr>
          <w:sz w:val="22"/>
          <w:szCs w:val="22"/>
        </w:rPr>
      </w:pPr>
      <w:r>
        <w:rPr>
          <w:sz w:val="22"/>
          <w:szCs w:val="22"/>
        </w:rPr>
        <w:t xml:space="preserve">Midrocs totala investering uppgår till drygt </w:t>
      </w:r>
      <w:r w:rsidRPr="000B6455">
        <w:rPr>
          <w:sz w:val="22"/>
          <w:szCs w:val="22"/>
        </w:rPr>
        <w:t>100</w:t>
      </w:r>
      <w:r>
        <w:rPr>
          <w:sz w:val="22"/>
          <w:szCs w:val="22"/>
        </w:rPr>
        <w:t xml:space="preserve"> miljoner kronor</w:t>
      </w:r>
    </w:p>
    <w:p w:rsidR="008F127D" w:rsidRDefault="00AE6F2C" w:rsidP="008F127D">
      <w:pPr>
        <w:rPr>
          <w:sz w:val="22"/>
          <w:szCs w:val="22"/>
        </w:rPr>
      </w:pPr>
      <w:r>
        <w:rPr>
          <w:sz w:val="22"/>
          <w:szCs w:val="22"/>
        </w:rPr>
        <w:t>Inflyttning</w:t>
      </w:r>
      <w:r w:rsidR="008F127D" w:rsidRPr="00960C9F">
        <w:rPr>
          <w:sz w:val="22"/>
          <w:szCs w:val="22"/>
        </w:rPr>
        <w:t xml:space="preserve">: </w:t>
      </w:r>
      <w:r>
        <w:rPr>
          <w:sz w:val="22"/>
          <w:szCs w:val="22"/>
        </w:rPr>
        <w:t>vintern 2018-2019</w:t>
      </w:r>
    </w:p>
    <w:p w:rsidR="0011670B" w:rsidRPr="000B6455" w:rsidRDefault="0011670B" w:rsidP="0011670B">
      <w:pPr>
        <w:rPr>
          <w:sz w:val="22"/>
          <w:szCs w:val="22"/>
        </w:rPr>
      </w:pPr>
      <w:r w:rsidRPr="000B6455">
        <w:rPr>
          <w:sz w:val="22"/>
          <w:szCs w:val="22"/>
        </w:rPr>
        <w:t xml:space="preserve">På grannfastigheten uppförs en liknande byggnad av ett lokalt fastighetsbolag, Alsingevallen. </w:t>
      </w:r>
    </w:p>
    <w:p w:rsidR="0011670B" w:rsidRPr="00960C9F" w:rsidRDefault="0011670B" w:rsidP="008F127D">
      <w:pPr>
        <w:rPr>
          <w:sz w:val="22"/>
          <w:szCs w:val="22"/>
        </w:rPr>
      </w:pPr>
    </w:p>
    <w:p w:rsidR="008F127D" w:rsidRDefault="008F127D" w:rsidP="008F127D">
      <w:pPr>
        <w:pStyle w:val="Rubrik3"/>
      </w:pPr>
      <w:r>
        <w:t>Bild</w:t>
      </w:r>
    </w:p>
    <w:p w:rsidR="008F127D" w:rsidRPr="000B6455" w:rsidRDefault="008F127D" w:rsidP="008F127D">
      <w:pPr>
        <w:rPr>
          <w:sz w:val="22"/>
          <w:szCs w:val="22"/>
        </w:rPr>
      </w:pPr>
      <w:r w:rsidRPr="000B6455">
        <w:rPr>
          <w:sz w:val="22"/>
          <w:szCs w:val="22"/>
        </w:rPr>
        <w:t xml:space="preserve">3D-bild: </w:t>
      </w:r>
      <w:proofErr w:type="spellStart"/>
      <w:r w:rsidRPr="000B6455">
        <w:rPr>
          <w:sz w:val="22"/>
          <w:szCs w:val="22"/>
        </w:rPr>
        <w:t>Comotion</w:t>
      </w:r>
      <w:proofErr w:type="spellEnd"/>
    </w:p>
    <w:p w:rsidR="008F127D" w:rsidRDefault="008F127D" w:rsidP="008F127D">
      <w:pPr>
        <w:rPr>
          <w:rFonts w:ascii="Arial" w:hAnsi="Arial" w:cs="Arial"/>
          <w:b/>
          <w:sz w:val="20"/>
        </w:rPr>
      </w:pPr>
    </w:p>
    <w:p w:rsidR="008F127D" w:rsidRPr="000F5A71" w:rsidRDefault="008F127D" w:rsidP="008F127D">
      <w:pPr>
        <w:ind w:left="360" w:hanging="360"/>
        <w:rPr>
          <w:rFonts w:ascii="Arial" w:hAnsi="Arial" w:cs="Arial"/>
          <w:b/>
          <w:sz w:val="20"/>
        </w:rPr>
      </w:pPr>
      <w:r w:rsidRPr="00AF34F4">
        <w:rPr>
          <w:rFonts w:ascii="Arial" w:hAnsi="Arial" w:cs="Arial"/>
          <w:b/>
          <w:sz w:val="20"/>
        </w:rPr>
        <w:t xml:space="preserve">För </w:t>
      </w:r>
      <w:r>
        <w:rPr>
          <w:rFonts w:ascii="Arial" w:hAnsi="Arial" w:cs="Arial"/>
          <w:b/>
          <w:sz w:val="20"/>
        </w:rPr>
        <w:t>ytterligare information, vänligen kontakta</w:t>
      </w:r>
      <w:r w:rsidR="00AB6197">
        <w:rPr>
          <w:rFonts w:ascii="Arial" w:hAnsi="Arial" w:cs="Arial"/>
          <w:b/>
          <w:sz w:val="20"/>
        </w:rPr>
        <w:t>:</w:t>
      </w:r>
    </w:p>
    <w:p w:rsidR="008F127D" w:rsidRPr="000B6455" w:rsidRDefault="008F127D" w:rsidP="008F127D">
      <w:pPr>
        <w:rPr>
          <w:sz w:val="22"/>
          <w:szCs w:val="22"/>
          <w:lang w:val="en-US"/>
        </w:rPr>
      </w:pPr>
      <w:r w:rsidRPr="000B6455">
        <w:rPr>
          <w:sz w:val="22"/>
          <w:szCs w:val="22"/>
          <w:lang w:val="en-US"/>
        </w:rPr>
        <w:lastRenderedPageBreak/>
        <w:t xml:space="preserve">Björn Niklasson, </w:t>
      </w:r>
      <w:proofErr w:type="spellStart"/>
      <w:r w:rsidRPr="000B6455">
        <w:rPr>
          <w:sz w:val="22"/>
          <w:szCs w:val="22"/>
          <w:lang w:val="en-US"/>
        </w:rPr>
        <w:t>distriktschef</w:t>
      </w:r>
      <w:proofErr w:type="spellEnd"/>
      <w:r w:rsidRPr="000B6455">
        <w:rPr>
          <w:sz w:val="22"/>
          <w:szCs w:val="22"/>
          <w:lang w:val="en-US"/>
        </w:rPr>
        <w:t xml:space="preserve"> Midroc</w:t>
      </w:r>
      <w:r w:rsidR="000B6455" w:rsidRPr="000B6455">
        <w:rPr>
          <w:sz w:val="22"/>
          <w:szCs w:val="22"/>
          <w:lang w:val="en-US"/>
        </w:rPr>
        <w:t xml:space="preserve"> Construction</w:t>
      </w:r>
      <w:r w:rsidRPr="000B6455">
        <w:rPr>
          <w:sz w:val="22"/>
          <w:szCs w:val="22"/>
          <w:lang w:val="en-US"/>
        </w:rPr>
        <w:t>, 010-470 74 65</w:t>
      </w:r>
    </w:p>
    <w:p w:rsidR="008F127D" w:rsidRDefault="004D0F5E" w:rsidP="005E30CA">
      <w:pPr>
        <w:rPr>
          <w:sz w:val="22"/>
          <w:szCs w:val="22"/>
        </w:rPr>
      </w:pPr>
      <w:hyperlink r:id="rId7" w:history="1">
        <w:r w:rsidR="000B6455" w:rsidRPr="0039187E">
          <w:rPr>
            <w:rStyle w:val="Hyperlnk"/>
            <w:sz w:val="22"/>
            <w:szCs w:val="22"/>
          </w:rPr>
          <w:t>bjorn.niklasson@midroc.se</w:t>
        </w:r>
      </w:hyperlink>
    </w:p>
    <w:p w:rsidR="000B6455" w:rsidRDefault="000B6455" w:rsidP="005E30CA">
      <w:pPr>
        <w:rPr>
          <w:sz w:val="22"/>
          <w:szCs w:val="22"/>
        </w:rPr>
      </w:pPr>
    </w:p>
    <w:p w:rsidR="000B6455" w:rsidRDefault="000B6455" w:rsidP="005E30CA">
      <w:pPr>
        <w:rPr>
          <w:sz w:val="22"/>
          <w:szCs w:val="22"/>
        </w:rPr>
      </w:pPr>
      <w:r>
        <w:rPr>
          <w:sz w:val="22"/>
          <w:szCs w:val="22"/>
        </w:rPr>
        <w:t xml:space="preserve">Anders Koch, affärschef Midroc </w:t>
      </w:r>
      <w:proofErr w:type="spellStart"/>
      <w:r>
        <w:rPr>
          <w:sz w:val="22"/>
          <w:szCs w:val="22"/>
        </w:rPr>
        <w:t>Properties</w:t>
      </w:r>
      <w:proofErr w:type="spellEnd"/>
      <w:r>
        <w:rPr>
          <w:sz w:val="22"/>
          <w:szCs w:val="22"/>
        </w:rPr>
        <w:t>, 010-470 74 15</w:t>
      </w:r>
    </w:p>
    <w:p w:rsidR="000B6455" w:rsidRDefault="00011534" w:rsidP="005E30CA">
      <w:pPr>
        <w:rPr>
          <w:sz w:val="22"/>
          <w:szCs w:val="22"/>
        </w:rPr>
      </w:pPr>
      <w:hyperlink r:id="rId8" w:history="1">
        <w:r w:rsidRPr="00C20304">
          <w:rPr>
            <w:rStyle w:val="Hyperlnk"/>
            <w:sz w:val="22"/>
            <w:szCs w:val="22"/>
          </w:rPr>
          <w:t>anders.koch@midroc.se</w:t>
        </w:r>
      </w:hyperlink>
    </w:p>
    <w:p w:rsidR="00011534" w:rsidRPr="005E30CA" w:rsidRDefault="00011534" w:rsidP="005E30CA">
      <w:bookmarkStart w:id="1" w:name="_GoBack"/>
      <w:bookmarkEnd w:id="1"/>
    </w:p>
    <w:sectPr w:rsidR="00011534" w:rsidRPr="005E30CA">
      <w:headerReference w:type="default" r:id="rId9"/>
      <w:headerReference w:type="first" r:id="rId10"/>
      <w:footerReference w:type="first" r:id="rId11"/>
      <w:pgSz w:w="11906" w:h="16838" w:code="9"/>
      <w:pgMar w:top="2410" w:right="2552" w:bottom="2268" w:left="1134" w:header="680"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7D" w:rsidRDefault="008F127D">
      <w:r>
        <w:separator/>
      </w:r>
    </w:p>
  </w:endnote>
  <w:endnote w:type="continuationSeparator" w:id="0">
    <w:p w:rsidR="008F127D" w:rsidRDefault="008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7D" w:rsidRDefault="008F127D" w:rsidP="008F127D">
    <w:pPr>
      <w:pStyle w:val="Rubrik3"/>
      <w:spacing w:line="276" w:lineRule="auto"/>
    </w:pPr>
    <w:r>
      <w:t>Fakta om Midroc</w:t>
    </w:r>
  </w:p>
  <w:p w:rsidR="008F127D" w:rsidRDefault="008F127D" w:rsidP="008F127D">
    <w:pPr>
      <w:rPr>
        <w:rFonts w:ascii="Arial" w:hAnsi="Arial" w:cs="Arial"/>
        <w:i/>
        <w:sz w:val="18"/>
        <w:szCs w:val="18"/>
        <w:lang w:eastAsia="en-US"/>
      </w:rPr>
    </w:pPr>
    <w:r w:rsidRPr="00FF414E">
      <w:rPr>
        <w:rFonts w:ascii="Arial" w:hAnsi="Arial" w:cs="Arial"/>
        <w:b/>
        <w:i/>
        <w:sz w:val="18"/>
        <w:szCs w:val="18"/>
        <w:lang w:eastAsia="en-US"/>
      </w:rPr>
      <w:t>Midroc Europe</w:t>
    </w:r>
    <w:r w:rsidRPr="009A0651">
      <w:rPr>
        <w:rFonts w:ascii="Arial" w:hAnsi="Arial" w:cs="Arial"/>
        <w:i/>
        <w:sz w:val="18"/>
        <w:szCs w:val="18"/>
        <w:lang w:eastAsia="en-US"/>
      </w:rPr>
      <w:t xml:space="preserve"> är en heltäckande partner inom områdena fastighet, bygg, industri och miljö. Vårt mål är att stärka kundens konkurrenskraft och genom hållbara lösningar och nytänkande vara med och bidra till en bättre framtid. Verksamheten är internationell med Sverige som utgångspunkt. Vi är 3</w:t>
    </w:r>
    <w:r>
      <w:rPr>
        <w:rFonts w:ascii="Arial" w:hAnsi="Arial" w:cs="Arial"/>
        <w:i/>
        <w:sz w:val="18"/>
        <w:szCs w:val="18"/>
        <w:lang w:eastAsia="en-US"/>
      </w:rPr>
      <w:t xml:space="preserve"> </w:t>
    </w:r>
    <w:r w:rsidRPr="009A0651">
      <w:rPr>
        <w:rFonts w:ascii="Arial" w:hAnsi="Arial" w:cs="Arial"/>
        <w:i/>
        <w:sz w:val="18"/>
        <w:szCs w:val="18"/>
        <w:lang w:eastAsia="en-US"/>
      </w:rPr>
      <w:t>600 medarbetare och under 2016 omsatte vi 5,6 miljarder kronor.</w:t>
    </w:r>
    <w:r>
      <w:rPr>
        <w:rFonts w:ascii="Arial" w:hAnsi="Arial" w:cs="Arial"/>
        <w:i/>
        <w:sz w:val="18"/>
        <w:szCs w:val="18"/>
        <w:lang w:eastAsia="en-US"/>
      </w:rPr>
      <w:t xml:space="preserve"> Läs mer på midroc.se</w:t>
    </w:r>
  </w:p>
  <w:p w:rsidR="008F127D" w:rsidRDefault="008F127D" w:rsidP="008F127D">
    <w:pPr>
      <w:rPr>
        <w:rFonts w:ascii="Arial" w:hAnsi="Arial" w:cs="Arial"/>
        <w:i/>
        <w:sz w:val="18"/>
        <w:szCs w:val="18"/>
      </w:rPr>
    </w:pPr>
  </w:p>
  <w:p w:rsidR="008F127D" w:rsidRPr="00B67EA4" w:rsidRDefault="008F127D" w:rsidP="008F127D">
    <w:pPr>
      <w:rPr>
        <w:rFonts w:ascii="Arial" w:hAnsi="Arial" w:cs="Arial"/>
        <w:i/>
        <w:sz w:val="18"/>
        <w:szCs w:val="18"/>
      </w:rPr>
    </w:pPr>
  </w:p>
  <w:p w:rsidR="000C5647" w:rsidRDefault="000C5647">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7D" w:rsidRDefault="008F127D">
      <w:r>
        <w:separator/>
      </w:r>
    </w:p>
  </w:footnote>
  <w:footnote w:type="continuationSeparator" w:id="0">
    <w:p w:rsidR="008F127D" w:rsidRDefault="008F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tblLayout w:type="fixed"/>
      <w:tblCellMar>
        <w:left w:w="0" w:type="dxa"/>
        <w:right w:w="0" w:type="dxa"/>
      </w:tblCellMar>
      <w:tblLook w:val="0000" w:firstRow="0" w:lastRow="0" w:firstColumn="0" w:lastColumn="0" w:noHBand="0" w:noVBand="0"/>
    </w:tblPr>
    <w:tblGrid>
      <w:gridCol w:w="4872"/>
      <w:gridCol w:w="1301"/>
      <w:gridCol w:w="2674"/>
      <w:gridCol w:w="546"/>
      <w:gridCol w:w="812"/>
    </w:tblGrid>
    <w:tr w:rsidR="005E30CA" w:rsidRPr="00530677" w:rsidTr="00F163E8">
      <w:trPr>
        <w:trHeight w:hRule="exact" w:val="255"/>
      </w:trPr>
      <w:tc>
        <w:tcPr>
          <w:tcW w:w="4872" w:type="dxa"/>
          <w:vMerge w:val="restart"/>
        </w:tcPr>
        <w:p w:rsidR="005E30CA" w:rsidRPr="0034622E" w:rsidRDefault="005E30CA" w:rsidP="005E30CA">
          <w:pPr>
            <w:rPr>
              <w:rFonts w:ascii="Arial" w:hAnsi="Arial" w:cs="Arial"/>
            </w:rPr>
          </w:pPr>
          <w:r w:rsidRPr="0034622E">
            <w:rPr>
              <w:rFonts w:ascii="Arial" w:hAnsi="Arial" w:cs="Arial"/>
              <w:noProof/>
            </w:rPr>
            <w:drawing>
              <wp:inline distT="0" distB="0" distL="0" distR="0" wp14:anchorId="28E7EBCF" wp14:editId="644E1E6B">
                <wp:extent cx="1090800" cy="734400"/>
                <wp:effectExtent l="0" t="0" r="0" b="8890"/>
                <wp:docPr id="3" name="Bildobjekt 3"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5333" w:type="dxa"/>
          <w:gridSpan w:val="4"/>
        </w:tcPr>
        <w:p w:rsidR="005E30CA" w:rsidRPr="0034622E" w:rsidRDefault="005E30CA" w:rsidP="005E30CA">
          <w:pPr>
            <w:rPr>
              <w:rStyle w:val="Stark"/>
              <w:rFonts w:ascii="Arial" w:hAnsi="Arial" w:cs="Arial"/>
            </w:rPr>
          </w:pPr>
        </w:p>
      </w:tc>
    </w:tr>
    <w:tr w:rsidR="005E30CA" w:rsidRPr="00530677" w:rsidTr="00F163E8">
      <w:trPr>
        <w:trHeight w:hRule="exact" w:val="245"/>
      </w:trPr>
      <w:tc>
        <w:tcPr>
          <w:tcW w:w="4872" w:type="dxa"/>
          <w:vMerge/>
        </w:tcPr>
        <w:p w:rsidR="005E30CA" w:rsidRPr="0034622E" w:rsidRDefault="005E30CA" w:rsidP="005E30CA">
          <w:pPr>
            <w:rPr>
              <w:rFonts w:ascii="Arial" w:hAnsi="Arial" w:cs="Arial"/>
              <w:noProof/>
            </w:rPr>
          </w:pPr>
        </w:p>
      </w:tc>
      <w:tc>
        <w:tcPr>
          <w:tcW w:w="5333" w:type="dxa"/>
          <w:gridSpan w:val="4"/>
        </w:tcPr>
        <w:p w:rsidR="005E30CA" w:rsidRPr="0034622E" w:rsidRDefault="005E30CA" w:rsidP="005E30CA">
          <w:pPr>
            <w:rPr>
              <w:rStyle w:val="Platshllartext"/>
              <w:rFonts w:ascii="Arial" w:hAnsi="Arial" w:cs="Arial"/>
            </w:rPr>
          </w:pPr>
        </w:p>
      </w:tc>
    </w:tr>
    <w:tr w:rsidR="005E30CA" w:rsidRPr="00530677" w:rsidTr="00F163E8">
      <w:trPr>
        <w:trHeight w:hRule="exact" w:val="285"/>
      </w:trPr>
      <w:tc>
        <w:tcPr>
          <w:tcW w:w="4872" w:type="dxa"/>
          <w:vMerge/>
        </w:tcPr>
        <w:p w:rsidR="005E30CA" w:rsidRPr="0034622E" w:rsidRDefault="005E30CA" w:rsidP="005E30CA">
          <w:pPr>
            <w:rPr>
              <w:rFonts w:ascii="Arial" w:hAnsi="Arial" w:cs="Arial"/>
              <w:noProof/>
            </w:rPr>
          </w:pPr>
        </w:p>
      </w:tc>
      <w:tc>
        <w:tcPr>
          <w:tcW w:w="5333" w:type="dxa"/>
          <w:gridSpan w:val="4"/>
        </w:tcPr>
        <w:p w:rsidR="005E30CA" w:rsidRPr="0034622E" w:rsidRDefault="005E30CA" w:rsidP="005E30CA">
          <w:pPr>
            <w:rPr>
              <w:rStyle w:val="Platshllartext"/>
              <w:rFonts w:ascii="Arial" w:hAnsi="Arial" w:cs="Arial"/>
              <w:sz w:val="20"/>
            </w:rPr>
          </w:pPr>
        </w:p>
      </w:tc>
    </w:tr>
    <w:tr w:rsidR="005E30CA" w:rsidRPr="00530677" w:rsidTr="00F163E8">
      <w:trPr>
        <w:trHeight w:hRule="exact" w:val="518"/>
      </w:trPr>
      <w:tc>
        <w:tcPr>
          <w:tcW w:w="4872" w:type="dxa"/>
          <w:vMerge/>
        </w:tcPr>
        <w:p w:rsidR="005E30CA" w:rsidRPr="00530677" w:rsidRDefault="005E30CA" w:rsidP="005E30CA">
          <w:pPr>
            <w:rPr>
              <w:rFonts w:ascii="Arial" w:hAnsi="Arial" w:cs="Arial"/>
            </w:rPr>
          </w:pPr>
        </w:p>
      </w:tc>
      <w:tc>
        <w:tcPr>
          <w:tcW w:w="1301" w:type="dxa"/>
        </w:tcPr>
        <w:p w:rsidR="005E30CA" w:rsidRPr="00693A83" w:rsidRDefault="005E30CA" w:rsidP="005E30CA">
          <w:pPr>
            <w:pStyle w:val="GuidetextHeaderFooter"/>
            <w:rPr>
              <w:rFonts w:ascii="Times New Roman" w:hAnsi="Times New Roman" w:cs="Times New Roman"/>
              <w:sz w:val="21"/>
              <w:szCs w:val="21"/>
            </w:rPr>
          </w:pPr>
        </w:p>
      </w:tc>
      <w:tc>
        <w:tcPr>
          <w:tcW w:w="2674" w:type="dxa"/>
        </w:tcPr>
        <w:p w:rsidR="005E30CA" w:rsidRDefault="005E30CA" w:rsidP="005E30CA">
          <w:pPr>
            <w:pStyle w:val="GuidetextHeaderFooter"/>
          </w:pPr>
        </w:p>
        <w:p w:rsidR="005E30CA" w:rsidRPr="00693A83" w:rsidRDefault="005E30CA" w:rsidP="005E30CA"/>
      </w:tc>
      <w:tc>
        <w:tcPr>
          <w:tcW w:w="546" w:type="dxa"/>
        </w:tcPr>
        <w:p w:rsidR="005E30CA" w:rsidRPr="00693A83" w:rsidRDefault="005E30CA" w:rsidP="005E30CA">
          <w:pPr>
            <w:pStyle w:val="GuidetextHeaderFooter"/>
            <w:rPr>
              <w:rFonts w:ascii="Times New Roman" w:hAnsi="Times New Roman" w:cs="Times New Roman"/>
              <w:sz w:val="21"/>
              <w:szCs w:val="21"/>
            </w:rPr>
          </w:pPr>
        </w:p>
      </w:tc>
      <w:tc>
        <w:tcPr>
          <w:tcW w:w="812" w:type="dxa"/>
        </w:tcPr>
        <w:p w:rsidR="005E30CA" w:rsidRPr="00530677" w:rsidRDefault="005E30CA" w:rsidP="005E30CA">
          <w:pPr>
            <w:pStyle w:val="GuidetextHeaderFooter"/>
          </w:pPr>
          <w:r w:rsidRPr="00530677">
            <w:t>Sida</w:t>
          </w:r>
        </w:p>
        <w:p w:rsidR="005E30CA" w:rsidRPr="00530677" w:rsidRDefault="005E30CA" w:rsidP="005E30CA">
          <w:pPr>
            <w:pStyle w:val="GuidetextHeaderFooter"/>
            <w:rPr>
              <w:sz w:val="21"/>
              <w:szCs w:val="21"/>
              <w:lang w:val="en-GB"/>
            </w:rPr>
          </w:pPr>
          <w:r w:rsidRPr="00641B4E">
            <w:rPr>
              <w:rFonts w:ascii="Times New Roman" w:hAnsi="Times New Roman" w:cs="Times New Roman"/>
              <w:sz w:val="21"/>
              <w:szCs w:val="21"/>
            </w:rPr>
            <w:fldChar w:fldCharType="begin"/>
          </w:r>
          <w:r w:rsidRPr="00641B4E">
            <w:rPr>
              <w:rFonts w:ascii="Times New Roman" w:hAnsi="Times New Roman" w:cs="Times New Roman"/>
              <w:sz w:val="21"/>
              <w:szCs w:val="21"/>
            </w:rPr>
            <w:instrText xml:space="preserve"> PAGE   \* MERGEFORMAT </w:instrText>
          </w:r>
          <w:r w:rsidRPr="00641B4E">
            <w:rPr>
              <w:rFonts w:ascii="Times New Roman" w:hAnsi="Times New Roman" w:cs="Times New Roman"/>
              <w:sz w:val="21"/>
              <w:szCs w:val="21"/>
            </w:rPr>
            <w:fldChar w:fldCharType="separate"/>
          </w:r>
          <w:r w:rsidR="00011534">
            <w:rPr>
              <w:rFonts w:ascii="Times New Roman" w:hAnsi="Times New Roman" w:cs="Times New Roman"/>
              <w:noProof/>
              <w:sz w:val="21"/>
              <w:szCs w:val="21"/>
            </w:rPr>
            <w:t>2</w:t>
          </w:r>
          <w:r w:rsidRPr="00641B4E">
            <w:rPr>
              <w:rFonts w:ascii="Times New Roman" w:hAnsi="Times New Roman" w:cs="Times New Roman"/>
              <w:sz w:val="21"/>
              <w:szCs w:val="21"/>
            </w:rPr>
            <w:fldChar w:fldCharType="end"/>
          </w:r>
          <w:r w:rsidRPr="00641B4E">
            <w:rPr>
              <w:rFonts w:ascii="Times New Roman" w:hAnsi="Times New Roman" w:cs="Times New Roman"/>
              <w:sz w:val="21"/>
              <w:szCs w:val="21"/>
            </w:rPr>
            <w:t>(</w:t>
          </w:r>
          <w:r w:rsidRPr="00641B4E">
            <w:rPr>
              <w:rFonts w:ascii="Times New Roman" w:hAnsi="Times New Roman" w:cs="Times New Roman"/>
              <w:sz w:val="21"/>
              <w:szCs w:val="21"/>
            </w:rPr>
            <w:fldChar w:fldCharType="begin"/>
          </w:r>
          <w:r w:rsidRPr="00641B4E">
            <w:rPr>
              <w:rFonts w:ascii="Times New Roman" w:hAnsi="Times New Roman" w:cs="Times New Roman"/>
              <w:sz w:val="21"/>
              <w:szCs w:val="21"/>
            </w:rPr>
            <w:instrText xml:space="preserve"> NUMPAGES   \* MERGEFORMAT </w:instrText>
          </w:r>
          <w:r w:rsidRPr="00641B4E">
            <w:rPr>
              <w:rFonts w:ascii="Times New Roman" w:hAnsi="Times New Roman" w:cs="Times New Roman"/>
              <w:sz w:val="21"/>
              <w:szCs w:val="21"/>
            </w:rPr>
            <w:fldChar w:fldCharType="separate"/>
          </w:r>
          <w:r w:rsidR="00011534">
            <w:rPr>
              <w:rFonts w:ascii="Times New Roman" w:hAnsi="Times New Roman" w:cs="Times New Roman"/>
              <w:noProof/>
              <w:sz w:val="21"/>
              <w:szCs w:val="21"/>
            </w:rPr>
            <w:t>2</w:t>
          </w:r>
          <w:r w:rsidRPr="00641B4E">
            <w:rPr>
              <w:rFonts w:ascii="Times New Roman" w:hAnsi="Times New Roman" w:cs="Times New Roman"/>
              <w:sz w:val="21"/>
              <w:szCs w:val="21"/>
            </w:rPr>
            <w:fldChar w:fldCharType="end"/>
          </w:r>
          <w:r w:rsidRPr="00641B4E">
            <w:rPr>
              <w:rFonts w:ascii="Times New Roman" w:hAnsi="Times New Roman" w:cs="Times New Roman"/>
              <w:sz w:val="21"/>
              <w:szCs w:val="21"/>
            </w:rPr>
            <w:t>)</w:t>
          </w:r>
        </w:p>
      </w:tc>
    </w:tr>
  </w:tbl>
  <w:p w:rsidR="000C5647" w:rsidRDefault="000C56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tblLayout w:type="fixed"/>
      <w:tblCellMar>
        <w:left w:w="0" w:type="dxa"/>
        <w:right w:w="0" w:type="dxa"/>
      </w:tblCellMar>
      <w:tblLook w:val="0000" w:firstRow="0" w:lastRow="0" w:firstColumn="0" w:lastColumn="0" w:noHBand="0" w:noVBand="0"/>
    </w:tblPr>
    <w:tblGrid>
      <w:gridCol w:w="2127"/>
      <w:gridCol w:w="8078"/>
    </w:tblGrid>
    <w:tr w:rsidR="008F127D" w:rsidRPr="00530677" w:rsidTr="008F127D">
      <w:trPr>
        <w:trHeight w:val="1303"/>
      </w:trPr>
      <w:tc>
        <w:tcPr>
          <w:tcW w:w="2127" w:type="dxa"/>
        </w:tcPr>
        <w:p w:rsidR="008F127D" w:rsidRPr="0034622E" w:rsidRDefault="008F127D" w:rsidP="00051A97">
          <w:pPr>
            <w:rPr>
              <w:rFonts w:ascii="Arial" w:hAnsi="Arial" w:cs="Arial"/>
            </w:rPr>
          </w:pPr>
          <w:r w:rsidRPr="0034622E">
            <w:rPr>
              <w:rFonts w:ascii="Arial" w:hAnsi="Arial" w:cs="Arial"/>
              <w:noProof/>
            </w:rPr>
            <w:drawing>
              <wp:inline distT="0" distB="0" distL="0" distR="0" wp14:anchorId="24DFB744" wp14:editId="35867A14">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8078" w:type="dxa"/>
        </w:tcPr>
        <w:p w:rsidR="008F127D" w:rsidRPr="0034622E" w:rsidRDefault="008F127D" w:rsidP="00051A97">
          <w:pPr>
            <w:rPr>
              <w:rStyle w:val="Stark"/>
              <w:rFonts w:ascii="Arial" w:hAnsi="Arial" w:cs="Arial"/>
            </w:rPr>
          </w:pPr>
        </w:p>
      </w:tc>
    </w:tr>
  </w:tbl>
  <w:p w:rsidR="000C5647" w:rsidRPr="00F66F87" w:rsidRDefault="000C5647" w:rsidP="00F66F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741"/>
    <w:multiLevelType w:val="singleLevel"/>
    <w:tmpl w:val="E4FEA432"/>
    <w:lvl w:ilvl="0">
      <w:start w:val="1"/>
      <w:numFmt w:val="decimal"/>
      <w:lvlText w:val="%1"/>
      <w:lvlJc w:val="left"/>
      <w:pPr>
        <w:tabs>
          <w:tab w:val="num" w:pos="360"/>
        </w:tabs>
        <w:ind w:left="360" w:hanging="360"/>
      </w:pPr>
    </w:lvl>
  </w:abstractNum>
  <w:abstractNum w:abstractNumId="1"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6A0D4C4E"/>
    <w:multiLevelType w:val="singleLevel"/>
    <w:tmpl w:val="041D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7D"/>
    <w:rsid w:val="000054DB"/>
    <w:rsid w:val="00011534"/>
    <w:rsid w:val="0004641A"/>
    <w:rsid w:val="00051A97"/>
    <w:rsid w:val="00066957"/>
    <w:rsid w:val="0007781D"/>
    <w:rsid w:val="000B6455"/>
    <w:rsid w:val="000C5647"/>
    <w:rsid w:val="000E2A85"/>
    <w:rsid w:val="0011670B"/>
    <w:rsid w:val="00117B47"/>
    <w:rsid w:val="00287DDC"/>
    <w:rsid w:val="00326403"/>
    <w:rsid w:val="003758B2"/>
    <w:rsid w:val="004977D4"/>
    <w:rsid w:val="004F0A6C"/>
    <w:rsid w:val="00525A2E"/>
    <w:rsid w:val="00535971"/>
    <w:rsid w:val="005E30CA"/>
    <w:rsid w:val="006153B4"/>
    <w:rsid w:val="0065237D"/>
    <w:rsid w:val="006A0E4C"/>
    <w:rsid w:val="007222EB"/>
    <w:rsid w:val="00771AB5"/>
    <w:rsid w:val="007F39F5"/>
    <w:rsid w:val="008A6733"/>
    <w:rsid w:val="008F127D"/>
    <w:rsid w:val="00960584"/>
    <w:rsid w:val="00963AB8"/>
    <w:rsid w:val="00970AC3"/>
    <w:rsid w:val="009C6F61"/>
    <w:rsid w:val="00A12732"/>
    <w:rsid w:val="00AB6197"/>
    <w:rsid w:val="00AE6F2C"/>
    <w:rsid w:val="00B53029"/>
    <w:rsid w:val="00C2680E"/>
    <w:rsid w:val="00C34FF0"/>
    <w:rsid w:val="00C75AD1"/>
    <w:rsid w:val="00C82E34"/>
    <w:rsid w:val="00D35AAD"/>
    <w:rsid w:val="00D3708A"/>
    <w:rsid w:val="00D4305C"/>
    <w:rsid w:val="00E61884"/>
    <w:rsid w:val="00E97782"/>
    <w:rsid w:val="00F10E73"/>
    <w:rsid w:val="00F15208"/>
    <w:rsid w:val="00F16EE8"/>
    <w:rsid w:val="00F66F87"/>
    <w:rsid w:val="00F74D27"/>
    <w:rsid w:val="00FA7AC5"/>
    <w:rsid w:val="00FF0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971D69"/>
  <w15:chartTrackingRefBased/>
  <w15:docId w15:val="{B6631620-1574-4D96-81CD-370F5AE7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53029"/>
    <w:rPr>
      <w:sz w:val="24"/>
    </w:rPr>
  </w:style>
  <w:style w:type="paragraph" w:styleId="Rubrik1">
    <w:name w:val="heading 1"/>
    <w:basedOn w:val="Normal"/>
    <w:next w:val="Normal"/>
    <w:qFormat/>
    <w:rsid w:val="00B53029"/>
    <w:pPr>
      <w:keepNext/>
      <w:spacing w:before="240" w:after="60"/>
      <w:outlineLvl w:val="0"/>
    </w:pPr>
    <w:rPr>
      <w:rFonts w:ascii="Arial" w:hAnsi="Arial"/>
      <w:b/>
      <w:kern w:val="28"/>
      <w:sz w:val="28"/>
    </w:rPr>
  </w:style>
  <w:style w:type="paragraph" w:styleId="Rubrik2">
    <w:name w:val="heading 2"/>
    <w:basedOn w:val="Normal"/>
    <w:next w:val="Normal"/>
    <w:qFormat/>
    <w:rsid w:val="00B53029"/>
    <w:pPr>
      <w:keepNext/>
      <w:spacing w:before="240"/>
      <w:outlineLvl w:val="1"/>
    </w:pPr>
    <w:rPr>
      <w:rFonts w:ascii="Arial" w:hAnsi="Arial"/>
      <w:b/>
    </w:rPr>
  </w:style>
  <w:style w:type="paragraph" w:styleId="Rubrik3">
    <w:name w:val="heading 3"/>
    <w:basedOn w:val="Normal"/>
    <w:next w:val="Normal"/>
    <w:link w:val="Rubrik3Char"/>
    <w:qFormat/>
    <w:rsid w:val="00B53029"/>
    <w:pPr>
      <w:keepNext/>
      <w:spacing w:before="120"/>
      <w:outlineLvl w:val="2"/>
    </w:pPr>
    <w:rPr>
      <w:rFonts w:ascii="Arial" w:hAnsi="Arial"/>
      <w:b/>
      <w:sz w:val="20"/>
    </w:rPr>
  </w:style>
  <w:style w:type="paragraph" w:styleId="Rubrik4">
    <w:name w:val="heading 4"/>
    <w:basedOn w:val="Normal"/>
    <w:next w:val="Normal"/>
    <w:qFormat/>
    <w:rsid w:val="00B53029"/>
    <w:pPr>
      <w:keepNext/>
      <w:spacing w:before="120"/>
      <w:outlineLvl w:val="3"/>
    </w:pPr>
    <w:rPr>
      <w:rFonts w:ascii="Arial" w:hAnsi="Arial" w:cs="Arial"/>
      <w:b/>
      <w:bCs/>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53029"/>
    <w:pPr>
      <w:tabs>
        <w:tab w:val="center" w:pos="4536"/>
        <w:tab w:val="right" w:pos="9072"/>
      </w:tabs>
    </w:pPr>
  </w:style>
  <w:style w:type="paragraph" w:styleId="Sidfot">
    <w:name w:val="footer"/>
    <w:basedOn w:val="Normal"/>
    <w:rsid w:val="00B53029"/>
    <w:pPr>
      <w:tabs>
        <w:tab w:val="center" w:pos="4536"/>
        <w:tab w:val="right" w:pos="9072"/>
      </w:tabs>
    </w:pPr>
  </w:style>
  <w:style w:type="paragraph" w:customStyle="1" w:styleId="Sidhuvudrubrik">
    <w:name w:val="Sidhuvudrubrik"/>
    <w:basedOn w:val="Rubrik1"/>
    <w:rsid w:val="00B53029"/>
    <w:pPr>
      <w:spacing w:before="280" w:after="0"/>
      <w:jc w:val="right"/>
    </w:pPr>
    <w:rPr>
      <w:sz w:val="32"/>
    </w:rPr>
  </w:style>
  <w:style w:type="character" w:styleId="Hyperlnk">
    <w:name w:val="Hyperlink"/>
    <w:basedOn w:val="Standardstycketeckensnitt"/>
    <w:rsid w:val="00B53029"/>
    <w:rPr>
      <w:color w:val="0000FF"/>
      <w:u w:val="single"/>
    </w:rPr>
  </w:style>
  <w:style w:type="paragraph" w:customStyle="1" w:styleId="TextSidfot">
    <w:name w:val="TextSidfot"/>
    <w:basedOn w:val="Normal"/>
    <w:rsid w:val="00B53029"/>
    <w:rPr>
      <w:sz w:val="18"/>
      <w:szCs w:val="18"/>
    </w:rPr>
  </w:style>
  <w:style w:type="character" w:styleId="Sidnummer">
    <w:name w:val="page number"/>
    <w:basedOn w:val="Standardstycketeckensnitt"/>
    <w:rsid w:val="00B53029"/>
  </w:style>
  <w:style w:type="paragraph" w:customStyle="1" w:styleId="LedtextSidfot">
    <w:name w:val="LedtextSidfot"/>
    <w:basedOn w:val="Normal"/>
    <w:rsid w:val="00B53029"/>
    <w:rPr>
      <w:rFonts w:ascii="Arial" w:hAnsi="Arial" w:cs="Arial"/>
      <w:sz w:val="14"/>
    </w:rPr>
  </w:style>
  <w:style w:type="paragraph" w:customStyle="1" w:styleId="Ledtext">
    <w:name w:val="Ledtext"/>
    <w:basedOn w:val="Normal"/>
    <w:rsid w:val="00B53029"/>
    <w:rPr>
      <w:rFonts w:ascii="Arial" w:hAnsi="Arial" w:cs="Arial"/>
      <w:sz w:val="16"/>
    </w:rPr>
  </w:style>
  <w:style w:type="paragraph" w:customStyle="1" w:styleId="LedtextFretagsnamn">
    <w:name w:val="LedtextFöretagsnamn"/>
    <w:basedOn w:val="Normal"/>
    <w:rsid w:val="00B53029"/>
    <w:rPr>
      <w:rFonts w:ascii="Arial" w:hAnsi="Arial"/>
      <w:b/>
      <w:sz w:val="14"/>
    </w:rPr>
  </w:style>
  <w:style w:type="paragraph" w:customStyle="1" w:styleId="GuidetextHeaderFooter">
    <w:name w:val="Guidetext Header/Footer"/>
    <w:basedOn w:val="Normal"/>
    <w:link w:val="GuidetextHeaderFooterCharChar"/>
    <w:rsid w:val="00960584"/>
    <w:pPr>
      <w:tabs>
        <w:tab w:val="left" w:pos="1134"/>
        <w:tab w:val="left" w:pos="2552"/>
        <w:tab w:val="left" w:pos="3969"/>
        <w:tab w:val="left" w:pos="5387"/>
        <w:tab w:val="left" w:pos="6804"/>
        <w:tab w:val="left" w:pos="8222"/>
        <w:tab w:val="left" w:pos="9639"/>
      </w:tabs>
      <w:spacing w:line="220" w:lineRule="exact"/>
    </w:pPr>
    <w:rPr>
      <w:rFonts w:ascii="Arial" w:hAnsi="Arial" w:cs="Arial"/>
      <w:sz w:val="12"/>
      <w:szCs w:val="12"/>
      <w:lang w:eastAsia="en-US"/>
    </w:rPr>
  </w:style>
  <w:style w:type="character" w:customStyle="1" w:styleId="GuidetextHeaderFooterCharChar">
    <w:name w:val="Guidetext Header/Footer Char Char"/>
    <w:basedOn w:val="Standardstycketeckensnitt"/>
    <w:link w:val="GuidetextHeaderFooter"/>
    <w:rsid w:val="00960584"/>
    <w:rPr>
      <w:rFonts w:ascii="Arial" w:hAnsi="Arial" w:cs="Arial"/>
      <w:sz w:val="12"/>
      <w:szCs w:val="12"/>
      <w:lang w:eastAsia="en-US"/>
    </w:rPr>
  </w:style>
  <w:style w:type="paragraph" w:customStyle="1" w:styleId="HeaderTextp2">
    <w:name w:val="HeaderText_p2"/>
    <w:basedOn w:val="Normal"/>
    <w:rsid w:val="00960584"/>
    <w:pPr>
      <w:tabs>
        <w:tab w:val="left" w:pos="1134"/>
        <w:tab w:val="left" w:pos="2552"/>
        <w:tab w:val="left" w:pos="3969"/>
        <w:tab w:val="left" w:pos="5387"/>
        <w:tab w:val="left" w:pos="6804"/>
        <w:tab w:val="left" w:pos="8222"/>
        <w:tab w:val="left" w:pos="9639"/>
      </w:tabs>
    </w:pPr>
    <w:rPr>
      <w:lang w:eastAsia="en-US"/>
    </w:rPr>
  </w:style>
  <w:style w:type="character" w:styleId="Platshllartext">
    <w:name w:val="Placeholder Text"/>
    <w:basedOn w:val="Standardstycketeckensnitt"/>
    <w:uiPriority w:val="99"/>
    <w:semiHidden/>
    <w:rsid w:val="00960584"/>
    <w:rPr>
      <w:color w:val="808080"/>
    </w:rPr>
  </w:style>
  <w:style w:type="character" w:styleId="Stark">
    <w:name w:val="Strong"/>
    <w:basedOn w:val="Standardstycketeckensnitt"/>
    <w:uiPriority w:val="22"/>
    <w:qFormat/>
    <w:rsid w:val="00960584"/>
    <w:rPr>
      <w:b/>
      <w:bCs/>
    </w:rPr>
  </w:style>
  <w:style w:type="character" w:customStyle="1" w:styleId="FooterAddressCharChar">
    <w:name w:val="FooterAddress Char Char"/>
    <w:basedOn w:val="Standardstycketeckensnitt"/>
    <w:link w:val="FooterAddress"/>
    <w:locked/>
    <w:rsid w:val="00051A97"/>
    <w:rPr>
      <w:rFonts w:ascii="Arial" w:hAnsi="Arial" w:cs="Arial"/>
      <w:sz w:val="14"/>
      <w:szCs w:val="14"/>
    </w:rPr>
  </w:style>
  <w:style w:type="paragraph" w:customStyle="1" w:styleId="FooterAddress">
    <w:name w:val="FooterAddress"/>
    <w:basedOn w:val="Normal"/>
    <w:link w:val="FooterAddressCharChar"/>
    <w:rsid w:val="00051A97"/>
    <w:pPr>
      <w:tabs>
        <w:tab w:val="left" w:pos="1134"/>
        <w:tab w:val="left" w:pos="2552"/>
        <w:tab w:val="left" w:pos="3969"/>
        <w:tab w:val="left" w:pos="5387"/>
        <w:tab w:val="left" w:pos="6804"/>
        <w:tab w:val="left" w:pos="8222"/>
        <w:tab w:val="left" w:pos="9639"/>
      </w:tabs>
      <w:spacing w:line="220" w:lineRule="exact"/>
    </w:pPr>
    <w:rPr>
      <w:rFonts w:ascii="Arial" w:hAnsi="Arial" w:cs="Arial"/>
      <w:sz w:val="14"/>
      <w:szCs w:val="14"/>
    </w:rPr>
  </w:style>
  <w:style w:type="paragraph" w:styleId="Oformateradtext">
    <w:name w:val="Plain Text"/>
    <w:basedOn w:val="Normal"/>
    <w:link w:val="OformateradtextChar"/>
    <w:uiPriority w:val="99"/>
    <w:unhideWhenUsed/>
    <w:rsid w:val="008F127D"/>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rsid w:val="008F127D"/>
    <w:rPr>
      <w:rFonts w:ascii="Calibri" w:eastAsiaTheme="minorHAnsi" w:hAnsi="Calibri" w:cs="Consolas"/>
      <w:sz w:val="22"/>
      <w:szCs w:val="21"/>
      <w:lang w:eastAsia="en-US"/>
    </w:rPr>
  </w:style>
  <w:style w:type="character" w:customStyle="1" w:styleId="Rubrik3Char">
    <w:name w:val="Rubrik 3 Char"/>
    <w:link w:val="Rubrik3"/>
    <w:rsid w:val="008F127D"/>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45158">
      <w:bodyDiv w:val="1"/>
      <w:marLeft w:val="0"/>
      <w:marRight w:val="0"/>
      <w:marTop w:val="0"/>
      <w:marBottom w:val="0"/>
      <w:divBdr>
        <w:top w:val="none" w:sz="0" w:space="0" w:color="auto"/>
        <w:left w:val="none" w:sz="0" w:space="0" w:color="auto"/>
        <w:bottom w:val="none" w:sz="0" w:space="0" w:color="auto"/>
        <w:right w:val="none" w:sz="0" w:space="0" w:color="auto"/>
      </w:divBdr>
    </w:div>
    <w:div w:id="20590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koch@midroc.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orn.niklasson@midroc.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Mallar\_Adm\Basmall%20stae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Basmall staende</Template>
  <TotalTime>0</TotalTime>
  <Pages>2</Pages>
  <Words>288</Words>
  <Characters>1920</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Dagordning vid </vt:lpstr>
    </vt:vector>
  </TitlesOfParts>
  <Company>Midroc Property Development AB</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
  <dc:description>Dokumentägare: Karin Skiöld_x000d_
Lena Björkling, Björkling IT-utveckling</dc:description>
  <cp:lastModifiedBy>Skiöld, Karin</cp:lastModifiedBy>
  <cp:revision>2</cp:revision>
  <cp:lastPrinted>2017-12-03T17:35:00Z</cp:lastPrinted>
  <dcterms:created xsi:type="dcterms:W3CDTF">2017-12-03T18:10:00Z</dcterms:created>
  <dcterms:modified xsi:type="dcterms:W3CDTF">2017-12-03T18:10:00Z</dcterms:modified>
</cp:coreProperties>
</file>