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9C1" w:rsidRPr="007E0B95" w:rsidRDefault="001879C1" w:rsidP="001879C1">
      <w:pPr>
        <w:pStyle w:val="Ingetavstnd"/>
      </w:pPr>
      <w:bookmarkStart w:id="0" w:name="_GoBack"/>
      <w:bookmarkEnd w:id="0"/>
    </w:p>
    <w:p w:rsidR="0005552D" w:rsidRDefault="0005552D" w:rsidP="00EE3498">
      <w:pPr>
        <w:pStyle w:val="Rubrik"/>
        <w:ind w:firstLine="0"/>
        <w:jc w:val="both"/>
        <w:rPr>
          <w:rFonts w:asciiTheme="minorHAnsi" w:hAnsiTheme="minorHAnsi" w:cstheme="minorHAnsi"/>
          <w:b w:val="0"/>
          <w:color w:val="000000" w:themeColor="text1"/>
          <w:sz w:val="28"/>
          <w:szCs w:val="28"/>
        </w:rPr>
      </w:pPr>
    </w:p>
    <w:p w:rsidR="001879C1" w:rsidRDefault="001879C1" w:rsidP="001879C1">
      <w:pPr>
        <w:pStyle w:val="Rubrik"/>
        <w:rPr>
          <w:rFonts w:asciiTheme="minorHAnsi" w:hAnsiTheme="minorHAnsi" w:cstheme="minorHAnsi"/>
          <w:b w:val="0"/>
          <w:color w:val="000000" w:themeColor="text1"/>
          <w:sz w:val="28"/>
          <w:szCs w:val="28"/>
        </w:rPr>
      </w:pPr>
      <w:r w:rsidRPr="0005552D">
        <w:rPr>
          <w:rFonts w:asciiTheme="minorHAnsi" w:hAnsiTheme="minorHAnsi" w:cstheme="minorHAnsi"/>
          <w:b w:val="0"/>
          <w:color w:val="000000" w:themeColor="text1"/>
          <w:sz w:val="28"/>
          <w:szCs w:val="28"/>
        </w:rPr>
        <w:t>Unga vuxnas boende</w:t>
      </w:r>
    </w:p>
    <w:p w:rsidR="0005552D" w:rsidRPr="0005552D" w:rsidRDefault="0005552D" w:rsidP="0005552D"/>
    <w:p w:rsidR="001879C1" w:rsidRDefault="001879C1" w:rsidP="001879C1">
      <w:pPr>
        <w:jc w:val="right"/>
        <w:rPr>
          <w:rFonts w:ascii="Arial" w:hAnsi="Arial" w:cs="Arial"/>
          <w:color w:val="C00000"/>
          <w:sz w:val="48"/>
          <w:szCs w:val="48"/>
        </w:rPr>
      </w:pPr>
      <w:r w:rsidRPr="0005552D">
        <w:rPr>
          <w:rFonts w:ascii="Arial" w:hAnsi="Arial" w:cs="Arial"/>
          <w:color w:val="C00000"/>
          <w:sz w:val="48"/>
          <w:szCs w:val="48"/>
        </w:rPr>
        <w:t>Hur påverkar situationen på bostadsmarknaden unga vuxnas möjligheter att skapa sin egen framtid?</w:t>
      </w:r>
    </w:p>
    <w:p w:rsidR="0005552D" w:rsidRPr="0005552D" w:rsidRDefault="0005552D" w:rsidP="0005552D">
      <w:pPr>
        <w:pStyle w:val="Ingetavstnd"/>
      </w:pPr>
    </w:p>
    <w:p w:rsidR="0005552D" w:rsidRDefault="0005552D" w:rsidP="0005552D">
      <w:pPr>
        <w:pStyle w:val="Ingetavstnd"/>
        <w:jc w:val="right"/>
        <w:rPr>
          <w:rFonts w:asciiTheme="minorHAnsi" w:hAnsiTheme="minorHAnsi" w:cstheme="minorHAnsi"/>
          <w:sz w:val="28"/>
          <w:szCs w:val="28"/>
        </w:rPr>
      </w:pPr>
      <w:r>
        <w:rPr>
          <w:rFonts w:asciiTheme="minorHAnsi" w:hAnsiTheme="minorHAnsi" w:cstheme="minorHAnsi"/>
          <w:sz w:val="28"/>
          <w:szCs w:val="28"/>
        </w:rPr>
        <w:t>Göteborgsregionen 2017</w:t>
      </w:r>
    </w:p>
    <w:p w:rsidR="0005552D" w:rsidRPr="0005552D" w:rsidRDefault="0005552D" w:rsidP="0005552D">
      <w:pPr>
        <w:pStyle w:val="Ingetavstnd"/>
        <w:jc w:val="right"/>
        <w:rPr>
          <w:rFonts w:asciiTheme="minorHAnsi" w:hAnsiTheme="minorHAnsi" w:cstheme="minorHAnsi"/>
          <w:sz w:val="28"/>
          <w:szCs w:val="28"/>
        </w:rPr>
      </w:pPr>
      <w:r>
        <w:rPr>
          <w:rFonts w:asciiTheme="minorHAnsi" w:hAnsiTheme="minorHAnsi" w:cstheme="minorHAnsi"/>
          <w:sz w:val="28"/>
          <w:szCs w:val="28"/>
        </w:rPr>
        <w:t>Undersökning från Hyresgästföreningen</w:t>
      </w:r>
    </w:p>
    <w:p w:rsidR="0005552D" w:rsidRPr="0005552D" w:rsidRDefault="0005552D" w:rsidP="0005552D">
      <w:pPr>
        <w:pStyle w:val="Ingetavstnd"/>
      </w:pPr>
    </w:p>
    <w:p w:rsidR="0005552D" w:rsidRPr="0005552D" w:rsidRDefault="0005552D" w:rsidP="0005552D">
      <w:pPr>
        <w:pStyle w:val="Ingetavstnd"/>
        <w:jc w:val="right"/>
      </w:pPr>
    </w:p>
    <w:p w:rsidR="001879C1" w:rsidRPr="007E0B95" w:rsidRDefault="006E7410" w:rsidP="001879C1">
      <w:pPr>
        <w:pStyle w:val="Ingetavstnd"/>
        <w:rPr>
          <w:rFonts w:ascii="Arial" w:hAnsi="Arial" w:cs="Arial"/>
        </w:rPr>
      </w:pPr>
      <w:r>
        <w:rPr>
          <w:rFonts w:ascii="Arial" w:hAnsi="Arial" w:cs="Arial"/>
          <w:noProof/>
          <w:sz w:val="28"/>
          <w:lang w:eastAsia="sv-SE"/>
        </w:rPr>
        <mc:AlternateContent>
          <mc:Choice Requires="wps">
            <w:drawing>
              <wp:anchor distT="0" distB="0" distL="114300" distR="114300" simplePos="0" relativeHeight="251662336" behindDoc="0" locked="0" layoutInCell="1" allowOverlap="1">
                <wp:simplePos x="0" y="0"/>
                <wp:positionH relativeFrom="column">
                  <wp:posOffset>-737870</wp:posOffset>
                </wp:positionH>
                <wp:positionV relativeFrom="paragraph">
                  <wp:posOffset>170180</wp:posOffset>
                </wp:positionV>
                <wp:extent cx="5162550" cy="904875"/>
                <wp:effectExtent l="0" t="0" r="19050" b="28575"/>
                <wp:wrapNone/>
                <wp:docPr id="11" name="Rektangel: rundade hörn 11"/>
                <wp:cNvGraphicFramePr/>
                <a:graphic xmlns:a="http://schemas.openxmlformats.org/drawingml/2006/main">
                  <a:graphicData uri="http://schemas.microsoft.com/office/word/2010/wordprocessingShape">
                    <wps:wsp>
                      <wps:cNvSpPr/>
                      <wps:spPr>
                        <a:xfrm>
                          <a:off x="0" y="0"/>
                          <a:ext cx="5162550" cy="904875"/>
                        </a:xfrm>
                        <a:prstGeom prst="round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5F89" w:rsidRPr="00E85F89" w:rsidRDefault="00284F5F" w:rsidP="00E85F89">
                            <w:pPr>
                              <w:jc w:val="center"/>
                              <w:rPr>
                                <w:rFonts w:ascii="Arial" w:hAnsi="Arial" w:cs="Arial"/>
                                <w:sz w:val="32"/>
                                <w:szCs w:val="32"/>
                              </w:rPr>
                            </w:pPr>
                            <w:r>
                              <w:rPr>
                                <w:rFonts w:ascii="Arial" w:hAnsi="Arial" w:cs="Arial"/>
                                <w:sz w:val="32"/>
                                <w:szCs w:val="32"/>
                              </w:rPr>
                              <w:t>Hyresrätten är en populär boendeform bland unga vuxna och det vanligaste första egna boendet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ktangel: rundade hörn 11" o:spid="_x0000_s1026" style="position:absolute;left:0;text-align:left;margin-left:-58.1pt;margin-top:13.4pt;width:406.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" fillcolor="#7f7f7f [1612]" strokecolor="#1f4d78 [1604]" strokeweight="1pt">
                <v:stroke joinstyle="miter"/>
                <v:textbox>
                  <w:txbxContent>
                    <w:p w:rsidR="00E85F89" w:rsidRPr="00E85F89" w:rsidRDefault="00284F5F" w:rsidP="00E85F89">
                      <w:pPr>
                        <w:jc w:val="center"/>
                        <w:rPr>
                          <w:rFonts w:ascii="Arial" w:hAnsi="Arial" w:cs="Arial"/>
                          <w:sz w:val="32"/>
                          <w:szCs w:val="32"/>
                        </w:rPr>
                      </w:pPr>
                      <w:r>
                        <w:rPr>
                          <w:rFonts w:ascii="Arial" w:hAnsi="Arial" w:cs="Arial"/>
                          <w:sz w:val="32"/>
                          <w:szCs w:val="32"/>
                        </w:rPr>
                        <w:t>Hyresrätten är en populär boendeform bland unga vuxna och det vanligaste första egna boendet</w:t>
                      </w:r>
                    </w:p>
                  </w:txbxContent>
                </v:textbox>
              </v:roundrect>
            </w:pict>
          </mc:Fallback>
        </mc:AlternateContent>
      </w:r>
    </w:p>
    <w:p w:rsidR="001879C1" w:rsidRPr="007E0B95" w:rsidRDefault="00E85F89" w:rsidP="00EE3498">
      <w:pPr>
        <w:pStyle w:val="Ingetavstnd"/>
        <w:jc w:val="left"/>
        <w:rPr>
          <w:rFonts w:ascii="Arial" w:hAnsi="Arial" w:cs="Arial"/>
          <w:color w:val="C00000"/>
          <w:sz w:val="32"/>
        </w:rPr>
      </w:pPr>
      <w:r>
        <w:rPr>
          <w:rFonts w:ascii="Arial" w:hAnsi="Arial" w:cs="Arial"/>
          <w:noProof/>
          <w:sz w:val="28"/>
          <w:lang w:eastAsia="sv-SE"/>
        </w:rPr>
        <mc:AlternateContent>
          <mc:Choice Requires="wps">
            <w:drawing>
              <wp:anchor distT="0" distB="0" distL="114300" distR="114300" simplePos="0" relativeHeight="251659264" behindDoc="0" locked="0" layoutInCell="1" allowOverlap="1">
                <wp:simplePos x="0" y="0"/>
                <wp:positionH relativeFrom="column">
                  <wp:posOffset>-147320</wp:posOffset>
                </wp:positionH>
                <wp:positionV relativeFrom="paragraph">
                  <wp:posOffset>4505325</wp:posOffset>
                </wp:positionV>
                <wp:extent cx="5886450" cy="1952625"/>
                <wp:effectExtent l="0" t="0" r="19050" b="28575"/>
                <wp:wrapNone/>
                <wp:docPr id="10" name="Rektangel: rundade hörn 10"/>
                <wp:cNvGraphicFramePr/>
                <a:graphic xmlns:a="http://schemas.openxmlformats.org/drawingml/2006/main">
                  <a:graphicData uri="http://schemas.microsoft.com/office/word/2010/wordprocessingShape">
                    <wps:wsp>
                      <wps:cNvSpPr/>
                      <wps:spPr>
                        <a:xfrm>
                          <a:off x="0" y="0"/>
                          <a:ext cx="5886450" cy="1952625"/>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3498" w:rsidRDefault="00EE3498" w:rsidP="00EE3498">
                            <w:pPr>
                              <w:pStyle w:val="Ingetavstnd"/>
                              <w:numPr>
                                <w:ilvl w:val="0"/>
                                <w:numId w:val="5"/>
                              </w:numPr>
                              <w:ind w:left="426"/>
                              <w:jc w:val="left"/>
                              <w:rPr>
                                <w:rFonts w:ascii="Arial" w:hAnsi="Arial" w:cs="Arial"/>
                                <w:color w:val="FFFFFF" w:themeColor="background1"/>
                                <w:sz w:val="32"/>
                              </w:rPr>
                            </w:pPr>
                            <w:r w:rsidRPr="00EE3498">
                              <w:rPr>
                                <w:rFonts w:ascii="Arial" w:hAnsi="Arial" w:cs="Arial"/>
                                <w:b/>
                                <w:color w:val="FFFFFF" w:themeColor="background1"/>
                                <w:sz w:val="44"/>
                                <w:szCs w:val="44"/>
                              </w:rPr>
                              <w:t>24 100</w:t>
                            </w:r>
                            <w:r w:rsidRPr="00EE3498">
                              <w:rPr>
                                <w:rFonts w:ascii="Arial" w:hAnsi="Arial" w:cs="Arial"/>
                                <w:color w:val="FFFFFF" w:themeColor="background1"/>
                                <w:sz w:val="32"/>
                              </w:rPr>
                              <w:t xml:space="preserve"> unga vuxna i Storgöteborg är ofrivilligt hemmaboende, det högsta antalet någonsin</w:t>
                            </w:r>
                          </w:p>
                          <w:p w:rsidR="00EE3498" w:rsidRPr="00EE3498" w:rsidRDefault="00EE3498" w:rsidP="00EE3498">
                            <w:pPr>
                              <w:pStyle w:val="Ingetavstnd"/>
                              <w:ind w:left="426"/>
                              <w:jc w:val="left"/>
                              <w:rPr>
                                <w:rFonts w:ascii="Arial" w:hAnsi="Arial" w:cs="Arial"/>
                                <w:color w:val="FFFFFF" w:themeColor="background1"/>
                                <w:sz w:val="32"/>
                              </w:rPr>
                            </w:pPr>
                          </w:p>
                          <w:p w:rsidR="00EE3498" w:rsidRPr="00EE3498" w:rsidRDefault="00EE3498" w:rsidP="00EE3498">
                            <w:pPr>
                              <w:pStyle w:val="Ingetavstnd"/>
                              <w:numPr>
                                <w:ilvl w:val="0"/>
                                <w:numId w:val="5"/>
                              </w:numPr>
                              <w:ind w:left="426"/>
                              <w:jc w:val="left"/>
                              <w:rPr>
                                <w:rFonts w:ascii="Arial" w:hAnsi="Arial" w:cs="Arial"/>
                                <w:color w:val="FFFFFF" w:themeColor="background1"/>
                                <w:sz w:val="32"/>
                              </w:rPr>
                            </w:pPr>
                            <w:r w:rsidRPr="00EE3498">
                              <w:rPr>
                                <w:rFonts w:ascii="Arial" w:hAnsi="Arial" w:cs="Arial"/>
                                <w:b/>
                                <w:color w:val="FFFFFF" w:themeColor="background1"/>
                                <w:sz w:val="44"/>
                                <w:szCs w:val="44"/>
                              </w:rPr>
                              <w:t>4 av 10</w:t>
                            </w:r>
                            <w:r w:rsidRPr="00EE3498">
                              <w:rPr>
                                <w:rFonts w:ascii="Arial" w:hAnsi="Arial" w:cs="Arial"/>
                                <w:color w:val="FFFFFF" w:themeColor="background1"/>
                                <w:sz w:val="32"/>
                              </w:rPr>
                              <w:t xml:space="preserve"> unga vuxna som har eget boende lever under utsatta förhållanden</w:t>
                            </w:r>
                          </w:p>
                          <w:p w:rsidR="00EE3498" w:rsidRDefault="00EE3498" w:rsidP="00EE34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ktangel: rundade hörn 10" o:spid="_x0000_s1027" style="position:absolute;margin-left:-11.6pt;margin-top:354.75pt;width:463.5pt;height:1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" fillcolor="#c00000" strokecolor="#c00000" strokeweight="1pt">
                <v:stroke joinstyle="miter"/>
                <v:textbox>
                  <w:txbxContent>
                    <w:p w:rsidR="00EE3498" w:rsidRDefault="00EE3498" w:rsidP="00EE3498">
                      <w:pPr>
                        <w:pStyle w:val="Ingetavstnd"/>
                        <w:numPr>
                          <w:ilvl w:val="0"/>
                          <w:numId w:val="5"/>
                        </w:numPr>
                        <w:ind w:left="426"/>
                        <w:jc w:val="left"/>
                        <w:rPr>
                          <w:rFonts w:ascii="Arial" w:hAnsi="Arial" w:cs="Arial"/>
                          <w:color w:val="FFFFFF" w:themeColor="background1"/>
                          <w:sz w:val="32"/>
                        </w:rPr>
                      </w:pPr>
                      <w:r w:rsidRPr="00EE3498">
                        <w:rPr>
                          <w:rFonts w:ascii="Arial" w:hAnsi="Arial" w:cs="Arial"/>
                          <w:b/>
                          <w:color w:val="FFFFFF" w:themeColor="background1"/>
                          <w:sz w:val="44"/>
                          <w:szCs w:val="44"/>
                        </w:rPr>
                        <w:t>24 100</w:t>
                      </w:r>
                      <w:r w:rsidRPr="00EE3498">
                        <w:rPr>
                          <w:rFonts w:ascii="Arial" w:hAnsi="Arial" w:cs="Arial"/>
                          <w:color w:val="FFFFFF" w:themeColor="background1"/>
                          <w:sz w:val="32"/>
                        </w:rPr>
                        <w:t xml:space="preserve"> unga vuxna i Storgöteborg är ofrivilligt hemmaboende, det högsta antalet någonsin</w:t>
                      </w:r>
                    </w:p>
                    <w:p w:rsidR="00EE3498" w:rsidRPr="00EE3498" w:rsidRDefault="00EE3498" w:rsidP="00EE3498">
                      <w:pPr>
                        <w:pStyle w:val="Ingetavstnd"/>
                        <w:ind w:left="426"/>
                        <w:jc w:val="left"/>
                        <w:rPr>
                          <w:rFonts w:ascii="Arial" w:hAnsi="Arial" w:cs="Arial"/>
                          <w:color w:val="FFFFFF" w:themeColor="background1"/>
                          <w:sz w:val="32"/>
                        </w:rPr>
                      </w:pPr>
                    </w:p>
                    <w:p w:rsidR="00EE3498" w:rsidRPr="00EE3498" w:rsidRDefault="00EE3498" w:rsidP="00EE3498">
                      <w:pPr>
                        <w:pStyle w:val="Ingetavstnd"/>
                        <w:numPr>
                          <w:ilvl w:val="0"/>
                          <w:numId w:val="5"/>
                        </w:numPr>
                        <w:ind w:left="426"/>
                        <w:jc w:val="left"/>
                        <w:rPr>
                          <w:rFonts w:ascii="Arial" w:hAnsi="Arial" w:cs="Arial"/>
                          <w:color w:val="FFFFFF" w:themeColor="background1"/>
                          <w:sz w:val="32"/>
                        </w:rPr>
                      </w:pPr>
                      <w:r w:rsidRPr="00EE3498">
                        <w:rPr>
                          <w:rFonts w:ascii="Arial" w:hAnsi="Arial" w:cs="Arial"/>
                          <w:b/>
                          <w:color w:val="FFFFFF" w:themeColor="background1"/>
                          <w:sz w:val="44"/>
                          <w:szCs w:val="44"/>
                        </w:rPr>
                        <w:t>4 av 10</w:t>
                      </w:r>
                      <w:r w:rsidRPr="00EE3498">
                        <w:rPr>
                          <w:rFonts w:ascii="Arial" w:hAnsi="Arial" w:cs="Arial"/>
                          <w:color w:val="FFFFFF" w:themeColor="background1"/>
                          <w:sz w:val="32"/>
                        </w:rPr>
                        <w:t xml:space="preserve"> unga vuxna som har eget boende lever under uts</w:t>
                      </w:r>
                      <w:bookmarkStart w:id="1" w:name="_GoBack"/>
                      <w:r w:rsidRPr="00EE3498">
                        <w:rPr>
                          <w:rFonts w:ascii="Arial" w:hAnsi="Arial" w:cs="Arial"/>
                          <w:color w:val="FFFFFF" w:themeColor="background1"/>
                          <w:sz w:val="32"/>
                        </w:rPr>
                        <w:t>atta förhållanden</w:t>
                      </w:r>
                    </w:p>
                    <w:bookmarkEnd w:id="1"/>
                    <w:p w:rsidR="00EE3498" w:rsidRDefault="00EE3498" w:rsidP="00EE3498">
                      <w:pPr>
                        <w:jc w:val="center"/>
                      </w:pPr>
                    </w:p>
                  </w:txbxContent>
                </v:textbox>
              </v:roundrect>
            </w:pict>
          </mc:Fallback>
        </mc:AlternateContent>
      </w:r>
      <w:r w:rsidR="00EE3498" w:rsidRPr="007E0B95">
        <w:rPr>
          <w:rFonts w:ascii="Arial" w:hAnsi="Arial" w:cs="Arial"/>
          <w:noProof/>
          <w:lang w:eastAsia="sv-SE"/>
        </w:rPr>
        <w:drawing>
          <wp:anchor distT="0" distB="0" distL="114300" distR="114300" simplePos="0" relativeHeight="251639808" behindDoc="1" locked="0" layoutInCell="1" allowOverlap="1" wp14:anchorId="0CB612D3" wp14:editId="3FFCE1D3">
            <wp:simplePos x="0" y="0"/>
            <wp:positionH relativeFrom="page">
              <wp:posOffset>-2299970</wp:posOffset>
            </wp:positionH>
            <wp:positionV relativeFrom="paragraph">
              <wp:posOffset>369570</wp:posOffset>
            </wp:positionV>
            <wp:extent cx="9963090" cy="6681095"/>
            <wp:effectExtent l="0" t="0" r="635" b="571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liminärbi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63090" cy="6681095"/>
                    </a:xfrm>
                    <a:prstGeom prst="rect">
                      <a:avLst/>
                    </a:prstGeom>
                  </pic:spPr>
                </pic:pic>
              </a:graphicData>
            </a:graphic>
            <wp14:sizeRelH relativeFrom="page">
              <wp14:pctWidth>0</wp14:pctWidth>
            </wp14:sizeRelH>
            <wp14:sizeRelV relativeFrom="page">
              <wp14:pctHeight>0</wp14:pctHeight>
            </wp14:sizeRelV>
          </wp:anchor>
        </w:drawing>
      </w:r>
      <w:r w:rsidR="001879C1" w:rsidRPr="007E0B95">
        <w:br w:type="page"/>
      </w:r>
    </w:p>
    <w:p w:rsidR="006E4B33" w:rsidRPr="007E0B95" w:rsidRDefault="006E4B33" w:rsidP="00EE1BB9">
      <w:pPr>
        <w:pStyle w:val="Innehllsfrteckningsrubrik"/>
      </w:pPr>
    </w:p>
    <w:p w:rsidR="00A5575C" w:rsidRPr="007E0B95" w:rsidRDefault="00737594">
      <w:pPr>
        <w:rPr>
          <w:rFonts w:asciiTheme="majorHAnsi" w:eastAsiaTheme="majorEastAsia" w:hAnsiTheme="majorHAnsi" w:cstheme="majorBidi"/>
          <w:sz w:val="32"/>
          <w:szCs w:val="32"/>
        </w:rPr>
      </w:pPr>
      <w:r>
        <w:rPr>
          <w:noProof/>
          <w:lang w:eastAsia="sv-SE"/>
        </w:rPr>
        <mc:AlternateContent>
          <mc:Choice Requires="wps">
            <w:drawing>
              <wp:anchor distT="0" distB="0" distL="114300" distR="114300" simplePos="0" relativeHeight="251669504" behindDoc="0" locked="0" layoutInCell="1" allowOverlap="1">
                <wp:simplePos x="0" y="0"/>
                <wp:positionH relativeFrom="column">
                  <wp:posOffset>-242570</wp:posOffset>
                </wp:positionH>
                <wp:positionV relativeFrom="paragraph">
                  <wp:posOffset>247650</wp:posOffset>
                </wp:positionV>
                <wp:extent cx="6219825" cy="8115300"/>
                <wp:effectExtent l="0" t="0" r="28575" b="19050"/>
                <wp:wrapNone/>
                <wp:docPr id="14" name="Rektangel 14"/>
                <wp:cNvGraphicFramePr/>
                <a:graphic xmlns:a="http://schemas.openxmlformats.org/drawingml/2006/main">
                  <a:graphicData uri="http://schemas.microsoft.com/office/word/2010/wordprocessingShape">
                    <wps:wsp>
                      <wps:cNvSpPr/>
                      <wps:spPr>
                        <a:xfrm>
                          <a:off x="0" y="0"/>
                          <a:ext cx="6219825" cy="81153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Theme="minorHAnsi" w:hAnsi="Arial" w:cs="Arial"/>
                                <w:color w:val="auto"/>
                                <w:sz w:val="22"/>
                                <w:szCs w:val="22"/>
                                <w:lang w:val="sv-SE"/>
                              </w:rPr>
                              <w:id w:val="-892110056"/>
                              <w:docPartObj>
                                <w:docPartGallery w:val="Table of Contents"/>
                                <w:docPartUnique/>
                              </w:docPartObj>
                            </w:sdtPr>
                            <w:sdtEndPr>
                              <w:rPr>
                                <w:bCs/>
                              </w:rPr>
                            </w:sdtEndPr>
                            <w:sdtContent>
                              <w:p w:rsidR="002F1EDE" w:rsidRPr="00737594" w:rsidRDefault="00EE1BB9" w:rsidP="00737594">
                                <w:pPr>
                                  <w:pStyle w:val="Innehllsfrteckningsrubrik"/>
                                  <w:spacing w:line="360" w:lineRule="auto"/>
                                  <w:jc w:val="left"/>
                                  <w:rPr>
                                    <w:rFonts w:ascii="Arial" w:hAnsi="Arial" w:cs="Arial"/>
                                    <w:sz w:val="48"/>
                                    <w:szCs w:val="48"/>
                                    <w:lang w:val="sv-SE"/>
                                  </w:rPr>
                                </w:pPr>
                                <w:r w:rsidRPr="00737594">
                                  <w:rPr>
                                    <w:rFonts w:ascii="Arial" w:hAnsi="Arial" w:cs="Arial"/>
                                    <w:sz w:val="48"/>
                                    <w:szCs w:val="48"/>
                                    <w:lang w:val="sv-SE"/>
                                  </w:rPr>
                                  <w:t>Innehåll</w:t>
                                </w:r>
                              </w:p>
                              <w:p w:rsidR="002F1EDE" w:rsidRPr="00737594" w:rsidRDefault="002F1EDE" w:rsidP="00737594">
                                <w:pPr>
                                  <w:pStyle w:val="Innehll1"/>
                                  <w:spacing w:line="360" w:lineRule="auto"/>
                                  <w:rPr>
                                    <w:rFonts w:ascii="Arial" w:hAnsi="Arial" w:cs="Arial"/>
                                  </w:rPr>
                                </w:pPr>
                              </w:p>
                              <w:p w:rsidR="00EE1BB9" w:rsidRPr="00737594" w:rsidRDefault="00EE1BB9" w:rsidP="00737594">
                                <w:pPr>
                                  <w:pStyle w:val="Innehll1"/>
                                  <w:spacing w:line="360" w:lineRule="auto"/>
                                  <w:rPr>
                                    <w:rFonts w:ascii="Arial" w:eastAsiaTheme="minorEastAsia" w:hAnsi="Arial" w:cs="Arial"/>
                                    <w:lang w:eastAsia="sv-SE"/>
                                  </w:rPr>
                                </w:pPr>
                                <w:r w:rsidRPr="00737594">
                                  <w:rPr>
                                    <w:rFonts w:ascii="Arial" w:hAnsi="Arial" w:cs="Arial"/>
                                  </w:rPr>
                                  <w:fldChar w:fldCharType="begin"/>
                                </w:r>
                                <w:r w:rsidRPr="00737594">
                                  <w:rPr>
                                    <w:rFonts w:ascii="Arial" w:hAnsi="Arial" w:cs="Arial"/>
                                  </w:rPr>
                                  <w:instrText xml:space="preserve"> TOC \o "1-3" \h \z \u </w:instrText>
                                </w:r>
                                <w:r w:rsidRPr="00737594">
                                  <w:rPr>
                                    <w:rFonts w:ascii="Arial" w:hAnsi="Arial" w:cs="Arial"/>
                                  </w:rPr>
                                  <w:fldChar w:fldCharType="separate"/>
                                </w:r>
                                <w:hyperlink w:anchor="_Toc481738281" w:history="1">
                                  <w:r w:rsidRPr="00737594">
                                    <w:rPr>
                                      <w:rStyle w:val="Hyperlnk"/>
                                      <w:rFonts w:ascii="Arial" w:hAnsi="Arial" w:cs="Arial"/>
                                      <w:sz w:val="24"/>
                                      <w:szCs w:val="24"/>
                                    </w:rPr>
                                    <w:t>Bostadsbrist, utsatthet och möjligheter</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_Toc481738281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3</w:t>
                                  </w:r>
                                  <w:r w:rsidRPr="00737594">
                                    <w:rPr>
                                      <w:rFonts w:ascii="Arial" w:hAnsi="Arial" w:cs="Arial"/>
                                      <w:webHidden/>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82" w:history="1">
                                  <w:r w:rsidR="00EE1BB9" w:rsidRPr="00737594">
                                    <w:rPr>
                                      <w:rStyle w:val="Hyperlnk"/>
                                      <w:rFonts w:ascii="Arial" w:hAnsi="Arial" w:cs="Arial"/>
                                      <w:sz w:val="24"/>
                                      <w:szCs w:val="24"/>
                                    </w:rPr>
                                    <w:t>Om rapporten</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_Toc481738282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3</w:t>
                                  </w:r>
                                  <w:r w:rsidR="00EE1BB9" w:rsidRPr="00737594">
                                    <w:rPr>
                                      <w:rFonts w:ascii="Arial" w:hAnsi="Arial" w:cs="Arial"/>
                                      <w:webHidden/>
                                      <w:sz w:val="24"/>
                                      <w:szCs w:val="24"/>
                                    </w:rPr>
                                    <w:fldChar w:fldCharType="end"/>
                                  </w:r>
                                </w:hyperlink>
                              </w:p>
                              <w:p w:rsidR="00EE1BB9" w:rsidRPr="00737594" w:rsidRDefault="00247C18" w:rsidP="00737594">
                                <w:pPr>
                                  <w:pStyle w:val="Innehll3"/>
                                  <w:tabs>
                                    <w:tab w:val="right" w:leader="dot" w:pos="9062"/>
                                  </w:tabs>
                                  <w:spacing w:line="360" w:lineRule="auto"/>
                                  <w:rPr>
                                    <w:rFonts w:ascii="Arial" w:eastAsiaTheme="minorEastAsia" w:hAnsi="Arial" w:cs="Arial"/>
                                    <w:sz w:val="24"/>
                                    <w:szCs w:val="24"/>
                                    <w:lang w:eastAsia="sv-SE"/>
                                  </w:rPr>
                                </w:pPr>
                                <w:hyperlink w:anchor="_Toc481738283" w:history="1">
                                  <w:r w:rsidR="00EE1BB9" w:rsidRPr="00737594">
                                    <w:rPr>
                                      <w:rStyle w:val="Hyperlnk"/>
                                      <w:rFonts w:ascii="Arial" w:hAnsi="Arial" w:cs="Arial"/>
                                      <w:sz w:val="24"/>
                                      <w:szCs w:val="24"/>
                                    </w:rPr>
                                    <w:t>Undersökningsmetoden</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_Toc481738283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4</w:t>
                                  </w:r>
                                  <w:r w:rsidR="00EE1BB9" w:rsidRPr="00737594">
                                    <w:rPr>
                                      <w:rFonts w:ascii="Arial" w:hAnsi="Arial" w:cs="Arial"/>
                                      <w:webHidden/>
                                      <w:sz w:val="24"/>
                                      <w:szCs w:val="24"/>
                                    </w:rPr>
                                    <w:fldChar w:fldCharType="end"/>
                                  </w:r>
                                </w:hyperlink>
                              </w:p>
                              <w:p w:rsidR="00EE1BB9" w:rsidRPr="00737594" w:rsidRDefault="00247C18" w:rsidP="00737594">
                                <w:pPr>
                                  <w:pStyle w:val="Innehll1"/>
                                  <w:spacing w:line="360" w:lineRule="auto"/>
                                  <w:rPr>
                                    <w:rFonts w:ascii="Arial" w:eastAsiaTheme="minorEastAsia" w:hAnsi="Arial" w:cs="Arial"/>
                                    <w:lang w:eastAsia="sv-SE"/>
                                  </w:rPr>
                                </w:pPr>
                                <w:hyperlink w:anchor="_Toc481738284" w:history="1">
                                  <w:r w:rsidR="00EE1BB9" w:rsidRPr="00737594">
                                    <w:rPr>
                                      <w:rStyle w:val="Hyperlnk"/>
                                      <w:rFonts w:ascii="Arial" w:hAnsi="Arial" w:cs="Arial"/>
                                      <w:sz w:val="24"/>
                                      <w:szCs w:val="24"/>
                                    </w:rPr>
                                    <w:t>Bostadssituationen för unga vuxna i Storgöteborg</w:t>
                                  </w:r>
                                  <w:r w:rsidR="00EE1BB9" w:rsidRPr="00737594">
                                    <w:rPr>
                                      <w:rFonts w:ascii="Arial" w:hAnsi="Arial" w:cs="Arial"/>
                                      <w:webHidden/>
                                    </w:rPr>
                                    <w:tab/>
                                  </w:r>
                                  <w:r w:rsidR="00EE1BB9" w:rsidRPr="00737594">
                                    <w:rPr>
                                      <w:rFonts w:ascii="Arial" w:hAnsi="Arial" w:cs="Arial"/>
                                      <w:webHidden/>
                                    </w:rPr>
                                    <w:fldChar w:fldCharType="begin"/>
                                  </w:r>
                                  <w:r w:rsidR="00EE1BB9" w:rsidRPr="00737594">
                                    <w:rPr>
                                      <w:rFonts w:ascii="Arial" w:hAnsi="Arial" w:cs="Arial"/>
                                      <w:webHidden/>
                                    </w:rPr>
                                    <w:instrText xml:space="preserve"> PAGEREF _Toc481738284 \h </w:instrText>
                                  </w:r>
                                  <w:r w:rsidR="00EE1BB9" w:rsidRPr="00737594">
                                    <w:rPr>
                                      <w:rFonts w:ascii="Arial" w:hAnsi="Arial" w:cs="Arial"/>
                                      <w:webHidden/>
                                    </w:rPr>
                                  </w:r>
                                  <w:r w:rsidR="00EE1BB9" w:rsidRPr="00737594">
                                    <w:rPr>
                                      <w:rFonts w:ascii="Arial" w:hAnsi="Arial" w:cs="Arial"/>
                                      <w:webHidden/>
                                    </w:rPr>
                                    <w:fldChar w:fldCharType="separate"/>
                                  </w:r>
                                  <w:r w:rsidR="006450EC">
                                    <w:rPr>
                                      <w:rFonts w:ascii="Arial" w:hAnsi="Arial" w:cs="Arial"/>
                                      <w:noProof/>
                                      <w:webHidden/>
                                    </w:rPr>
                                    <w:t>5</w:t>
                                  </w:r>
                                  <w:r w:rsidR="00EE1BB9" w:rsidRPr="00737594">
                                    <w:rPr>
                                      <w:rFonts w:ascii="Arial" w:hAnsi="Arial" w:cs="Arial"/>
                                      <w:webHidden/>
                                    </w:rPr>
                                    <w:fldChar w:fldCharType="end"/>
                                  </w:r>
                                </w:hyperlink>
                              </w:p>
                              <w:p w:rsidR="00EE1BB9" w:rsidRPr="00737594" w:rsidRDefault="00247C18" w:rsidP="00737594">
                                <w:pPr>
                                  <w:pStyle w:val="Innehll1"/>
                                  <w:spacing w:line="360" w:lineRule="auto"/>
                                  <w:rPr>
                                    <w:rFonts w:ascii="Arial" w:eastAsiaTheme="minorEastAsia" w:hAnsi="Arial" w:cs="Arial"/>
                                    <w:lang w:eastAsia="sv-SE"/>
                                  </w:rPr>
                                </w:pPr>
                                <w:hyperlink w:anchor="_Toc481738285" w:history="1">
                                  <w:r w:rsidR="00EE1BB9" w:rsidRPr="00737594">
                                    <w:rPr>
                                      <w:rStyle w:val="Hyperlnk"/>
                                      <w:rFonts w:ascii="Arial" w:hAnsi="Arial" w:cs="Arial"/>
                                      <w:sz w:val="24"/>
                                      <w:szCs w:val="24"/>
                                      <w:lang w:eastAsia="sv-SE"/>
                                    </w:rPr>
                                    <w:t>Unga vuxna som bor kvar hemma</w:t>
                                  </w:r>
                                  <w:r w:rsidR="00EE1BB9" w:rsidRPr="00737594">
                                    <w:rPr>
                                      <w:rFonts w:ascii="Arial" w:hAnsi="Arial" w:cs="Arial"/>
                                      <w:webHidden/>
                                    </w:rPr>
                                    <w:tab/>
                                  </w:r>
                                  <w:r w:rsidR="00EE1BB9" w:rsidRPr="00737594">
                                    <w:rPr>
                                      <w:rFonts w:ascii="Arial" w:hAnsi="Arial" w:cs="Arial"/>
                                      <w:webHidden/>
                                    </w:rPr>
                                    <w:fldChar w:fldCharType="begin"/>
                                  </w:r>
                                  <w:r w:rsidR="00EE1BB9" w:rsidRPr="00737594">
                                    <w:rPr>
                                      <w:rFonts w:ascii="Arial" w:hAnsi="Arial" w:cs="Arial"/>
                                      <w:webHidden/>
                                    </w:rPr>
                                    <w:instrText xml:space="preserve"> PAGEREF _Toc481738285 \h </w:instrText>
                                  </w:r>
                                  <w:r w:rsidR="00EE1BB9" w:rsidRPr="00737594">
                                    <w:rPr>
                                      <w:rFonts w:ascii="Arial" w:hAnsi="Arial" w:cs="Arial"/>
                                      <w:webHidden/>
                                    </w:rPr>
                                  </w:r>
                                  <w:r w:rsidR="00EE1BB9" w:rsidRPr="00737594">
                                    <w:rPr>
                                      <w:rFonts w:ascii="Arial" w:hAnsi="Arial" w:cs="Arial"/>
                                      <w:webHidden/>
                                    </w:rPr>
                                    <w:fldChar w:fldCharType="separate"/>
                                  </w:r>
                                  <w:r w:rsidR="006450EC">
                                    <w:rPr>
                                      <w:rFonts w:ascii="Arial" w:hAnsi="Arial" w:cs="Arial"/>
                                      <w:noProof/>
                                      <w:webHidden/>
                                    </w:rPr>
                                    <w:t>7</w:t>
                                  </w:r>
                                  <w:r w:rsidR="00EE1BB9" w:rsidRPr="00737594">
                                    <w:rPr>
                                      <w:rFonts w:ascii="Arial" w:hAnsi="Arial" w:cs="Arial"/>
                                      <w:webHidden/>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86" w:history="1">
                                  <w:r w:rsidR="00EE1BB9" w:rsidRPr="00737594">
                                    <w:rPr>
                                      <w:rStyle w:val="Hyperlnk"/>
                                      <w:rFonts w:ascii="Arial" w:hAnsi="Arial" w:cs="Arial"/>
                                      <w:sz w:val="24"/>
                                      <w:szCs w:val="24"/>
                                    </w:rPr>
                                    <w:t>Hemmaboende i Storgöteborgs kommuner</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_Toc481738286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7</w:t>
                                  </w:r>
                                  <w:r w:rsidR="00EE1BB9" w:rsidRPr="00737594">
                                    <w:rPr>
                                      <w:rFonts w:ascii="Arial" w:hAnsi="Arial" w:cs="Arial"/>
                                      <w:webHidden/>
                                      <w:sz w:val="24"/>
                                      <w:szCs w:val="24"/>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87" w:history="1">
                                  <w:r w:rsidR="00EE1BB9" w:rsidRPr="00737594">
                                    <w:rPr>
                                      <w:rStyle w:val="Hyperlnk"/>
                                      <w:rFonts w:ascii="Arial" w:hAnsi="Arial" w:cs="Arial"/>
                                      <w:sz w:val="24"/>
                                      <w:szCs w:val="24"/>
                                    </w:rPr>
                                    <w:t>Hyresrätten populär som första boendeform</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_Toc481738287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9</w:t>
                                  </w:r>
                                  <w:r w:rsidR="00EE1BB9" w:rsidRPr="00737594">
                                    <w:rPr>
                                      <w:rFonts w:ascii="Arial" w:hAnsi="Arial" w:cs="Arial"/>
                                      <w:webHidden/>
                                      <w:sz w:val="24"/>
                                      <w:szCs w:val="24"/>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88" w:history="1">
                                  <w:r w:rsidR="00EE1BB9" w:rsidRPr="00737594">
                                    <w:rPr>
                                      <w:rStyle w:val="Hyperlnk"/>
                                      <w:rFonts w:ascii="Arial" w:hAnsi="Arial" w:cs="Arial"/>
                                      <w:sz w:val="24"/>
                                      <w:szCs w:val="24"/>
                                    </w:rPr>
                                    <w:t>Hemmaboendets ekonomi – halvvägs till eget ansvar</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_Toc481738288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9</w:t>
                                  </w:r>
                                  <w:r w:rsidR="00EE1BB9" w:rsidRPr="00737594">
                                    <w:rPr>
                                      <w:rFonts w:ascii="Arial" w:hAnsi="Arial" w:cs="Arial"/>
                                      <w:webHidden/>
                                      <w:sz w:val="24"/>
                                      <w:szCs w:val="24"/>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89" w:history="1">
                                  <w:r w:rsidR="00EE1BB9" w:rsidRPr="00737594">
                                    <w:rPr>
                                      <w:rStyle w:val="Hyperlnk"/>
                                      <w:rFonts w:ascii="Arial" w:hAnsi="Arial" w:cs="Arial"/>
                                      <w:sz w:val="24"/>
                                      <w:szCs w:val="24"/>
                                    </w:rPr>
                                    <w:t>Utmaningar för hemmaboende unga vuxna</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_Toc481738289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10</w:t>
                                  </w:r>
                                  <w:r w:rsidR="00EE1BB9" w:rsidRPr="00737594">
                                    <w:rPr>
                                      <w:rFonts w:ascii="Arial" w:hAnsi="Arial" w:cs="Arial"/>
                                      <w:webHidden/>
                                      <w:sz w:val="24"/>
                                      <w:szCs w:val="24"/>
                                    </w:rPr>
                                    <w:fldChar w:fldCharType="end"/>
                                  </w:r>
                                </w:hyperlink>
                              </w:p>
                              <w:p w:rsidR="00EE1BB9" w:rsidRPr="00737594" w:rsidRDefault="00247C18" w:rsidP="00737594">
                                <w:pPr>
                                  <w:pStyle w:val="Innehll1"/>
                                  <w:spacing w:line="360" w:lineRule="auto"/>
                                  <w:rPr>
                                    <w:rFonts w:ascii="Arial" w:eastAsiaTheme="minorEastAsia" w:hAnsi="Arial" w:cs="Arial"/>
                                    <w:lang w:eastAsia="sv-SE"/>
                                  </w:rPr>
                                </w:pPr>
                                <w:hyperlink w:anchor="_Toc481738290" w:history="1">
                                  <w:r w:rsidR="00EE1BB9" w:rsidRPr="00737594">
                                    <w:rPr>
                                      <w:rStyle w:val="Hyperlnk"/>
                                      <w:rFonts w:ascii="Arial" w:hAnsi="Arial" w:cs="Arial"/>
                                      <w:sz w:val="24"/>
                                      <w:szCs w:val="24"/>
                                      <w:lang w:eastAsia="sv-SE"/>
                                    </w:rPr>
                                    <w:t>Unga vuxna som har skaffat sig eget boende</w:t>
                                  </w:r>
                                  <w:r w:rsidR="00EE1BB9" w:rsidRPr="00737594">
                                    <w:rPr>
                                      <w:rFonts w:ascii="Arial" w:hAnsi="Arial" w:cs="Arial"/>
                                      <w:webHidden/>
                                    </w:rPr>
                                    <w:tab/>
                                  </w:r>
                                  <w:r w:rsidR="00EE1BB9" w:rsidRPr="00737594">
                                    <w:rPr>
                                      <w:rFonts w:ascii="Arial" w:hAnsi="Arial" w:cs="Arial"/>
                                      <w:webHidden/>
                                    </w:rPr>
                                    <w:fldChar w:fldCharType="begin"/>
                                  </w:r>
                                  <w:r w:rsidR="00EE1BB9" w:rsidRPr="00737594">
                                    <w:rPr>
                                      <w:rFonts w:ascii="Arial" w:hAnsi="Arial" w:cs="Arial"/>
                                      <w:webHidden/>
                                    </w:rPr>
                                    <w:instrText xml:space="preserve"> PAGEREF _Toc481738290 \h </w:instrText>
                                  </w:r>
                                  <w:r w:rsidR="00EE1BB9" w:rsidRPr="00737594">
                                    <w:rPr>
                                      <w:rFonts w:ascii="Arial" w:hAnsi="Arial" w:cs="Arial"/>
                                      <w:webHidden/>
                                    </w:rPr>
                                  </w:r>
                                  <w:r w:rsidR="00EE1BB9" w:rsidRPr="00737594">
                                    <w:rPr>
                                      <w:rFonts w:ascii="Arial" w:hAnsi="Arial" w:cs="Arial"/>
                                      <w:webHidden/>
                                    </w:rPr>
                                    <w:fldChar w:fldCharType="separate"/>
                                  </w:r>
                                  <w:r w:rsidR="006450EC">
                                    <w:rPr>
                                      <w:rFonts w:ascii="Arial" w:hAnsi="Arial" w:cs="Arial"/>
                                      <w:noProof/>
                                      <w:webHidden/>
                                    </w:rPr>
                                    <w:t>11</w:t>
                                  </w:r>
                                  <w:r w:rsidR="00EE1BB9" w:rsidRPr="00737594">
                                    <w:rPr>
                                      <w:rFonts w:ascii="Arial" w:hAnsi="Arial" w:cs="Arial"/>
                                      <w:webHidden/>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91" w:history="1">
                                  <w:r w:rsidR="00EE1BB9" w:rsidRPr="00737594">
                                    <w:rPr>
                                      <w:rStyle w:val="Hyperlnk"/>
                                      <w:rFonts w:ascii="Arial" w:hAnsi="Arial" w:cs="Arial"/>
                                      <w:sz w:val="24"/>
                                      <w:szCs w:val="24"/>
                                    </w:rPr>
                                    <w:t>Boendeformer för dem som skaffat sig eget boende</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_Toc481738291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11</w:t>
                                  </w:r>
                                  <w:r w:rsidR="00EE1BB9" w:rsidRPr="00737594">
                                    <w:rPr>
                                      <w:rFonts w:ascii="Arial" w:hAnsi="Arial" w:cs="Arial"/>
                                      <w:webHidden/>
                                      <w:sz w:val="24"/>
                                      <w:szCs w:val="24"/>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92" w:history="1">
                                  <w:r w:rsidR="00EE1BB9" w:rsidRPr="00737594">
                                    <w:rPr>
                                      <w:rStyle w:val="Hyperlnk"/>
                                      <w:rFonts w:ascii="Arial" w:hAnsi="Arial" w:cs="Arial"/>
                                      <w:sz w:val="24"/>
                                      <w:szCs w:val="24"/>
                                    </w:rPr>
                                    <w:t>Boendekostnader för unga vuxna i eget boende</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_Toc481738292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12</w:t>
                                  </w:r>
                                  <w:r w:rsidR="00EE1BB9" w:rsidRPr="00737594">
                                    <w:rPr>
                                      <w:rFonts w:ascii="Arial" w:hAnsi="Arial" w:cs="Arial"/>
                                      <w:webHidden/>
                                      <w:sz w:val="24"/>
                                      <w:szCs w:val="24"/>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93" w:history="1">
                                  <w:r w:rsidR="00EE1BB9" w:rsidRPr="00737594">
                                    <w:rPr>
                                      <w:rStyle w:val="Hyperlnk"/>
                                      <w:rFonts w:ascii="Arial" w:hAnsi="Arial" w:cs="Arial"/>
                                      <w:sz w:val="24"/>
                                      <w:szCs w:val="24"/>
                                    </w:rPr>
                                    <w:t>Utmaningar för unga vuxna med eget boende</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_Toc481738293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12</w:t>
                                  </w:r>
                                  <w:r w:rsidR="00EE1BB9" w:rsidRPr="00737594">
                                    <w:rPr>
                                      <w:rFonts w:ascii="Arial" w:hAnsi="Arial" w:cs="Arial"/>
                                      <w:webHidden/>
                                      <w:sz w:val="24"/>
                                      <w:szCs w:val="24"/>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94" w:history="1">
                                  <w:r w:rsidR="00EE1BB9" w:rsidRPr="00737594">
                                    <w:rPr>
                                      <w:rStyle w:val="Hyperlnk"/>
                                      <w:rFonts w:ascii="Arial" w:hAnsi="Arial" w:cs="Arial"/>
                                      <w:sz w:val="24"/>
                                      <w:szCs w:val="24"/>
                                    </w:rPr>
                                    <w:t>Absolut ekonomisk fattigdom för unga vuxna med eget boende</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_Toc481738294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13</w:t>
                                  </w:r>
                                  <w:r w:rsidR="00EE1BB9" w:rsidRPr="00737594">
                                    <w:rPr>
                                      <w:rFonts w:ascii="Arial" w:hAnsi="Arial" w:cs="Arial"/>
                                      <w:webHidden/>
                                      <w:sz w:val="24"/>
                                      <w:szCs w:val="24"/>
                                    </w:rPr>
                                    <w:fldChar w:fldCharType="end"/>
                                  </w:r>
                                </w:hyperlink>
                              </w:p>
                              <w:p w:rsidR="00EE1BB9" w:rsidRPr="00737594" w:rsidRDefault="00247C18" w:rsidP="00737594">
                                <w:pPr>
                                  <w:pStyle w:val="Innehll1"/>
                                  <w:spacing w:line="360" w:lineRule="auto"/>
                                  <w:rPr>
                                    <w:rFonts w:ascii="Arial" w:eastAsiaTheme="minorEastAsia" w:hAnsi="Arial" w:cs="Arial"/>
                                    <w:lang w:eastAsia="sv-SE"/>
                                  </w:rPr>
                                </w:pPr>
                                <w:hyperlink w:anchor="_Toc481738295" w:history="1">
                                  <w:r w:rsidR="00EE1BB9" w:rsidRPr="00737594">
                                    <w:rPr>
                                      <w:rStyle w:val="Hyperlnk"/>
                                      <w:rFonts w:ascii="Arial" w:hAnsi="Arial" w:cs="Arial"/>
                                      <w:sz w:val="24"/>
                                      <w:szCs w:val="24"/>
                                    </w:rPr>
                                    <w:t>Hur påverkar unga vuxnas utsatthet deras möjligheter?</w:t>
                                  </w:r>
                                  <w:r w:rsidR="00EE1BB9" w:rsidRPr="00737594">
                                    <w:rPr>
                                      <w:rFonts w:ascii="Arial" w:hAnsi="Arial" w:cs="Arial"/>
                                      <w:webHidden/>
                                    </w:rPr>
                                    <w:tab/>
                                  </w:r>
                                  <w:r w:rsidR="00EE1BB9" w:rsidRPr="00737594">
                                    <w:rPr>
                                      <w:rFonts w:ascii="Arial" w:hAnsi="Arial" w:cs="Arial"/>
                                      <w:webHidden/>
                                    </w:rPr>
                                    <w:fldChar w:fldCharType="begin"/>
                                  </w:r>
                                  <w:r w:rsidR="00EE1BB9" w:rsidRPr="00737594">
                                    <w:rPr>
                                      <w:rFonts w:ascii="Arial" w:hAnsi="Arial" w:cs="Arial"/>
                                      <w:webHidden/>
                                    </w:rPr>
                                    <w:instrText xml:space="preserve"> PAGEREF _Toc481738295 \h </w:instrText>
                                  </w:r>
                                  <w:r w:rsidR="00EE1BB9" w:rsidRPr="00737594">
                                    <w:rPr>
                                      <w:rFonts w:ascii="Arial" w:hAnsi="Arial" w:cs="Arial"/>
                                      <w:webHidden/>
                                    </w:rPr>
                                  </w:r>
                                  <w:r w:rsidR="00EE1BB9" w:rsidRPr="00737594">
                                    <w:rPr>
                                      <w:rFonts w:ascii="Arial" w:hAnsi="Arial" w:cs="Arial"/>
                                      <w:webHidden/>
                                    </w:rPr>
                                    <w:fldChar w:fldCharType="separate"/>
                                  </w:r>
                                  <w:r w:rsidR="006450EC">
                                    <w:rPr>
                                      <w:rFonts w:ascii="Arial" w:hAnsi="Arial" w:cs="Arial"/>
                                      <w:noProof/>
                                      <w:webHidden/>
                                    </w:rPr>
                                    <w:t>15</w:t>
                                  </w:r>
                                  <w:r w:rsidR="00EE1BB9" w:rsidRPr="00737594">
                                    <w:rPr>
                                      <w:rFonts w:ascii="Arial" w:hAnsi="Arial" w:cs="Arial"/>
                                      <w:webHidden/>
                                    </w:rPr>
                                    <w:fldChar w:fldCharType="end"/>
                                  </w:r>
                                </w:hyperlink>
                              </w:p>
                              <w:p w:rsidR="00EE1BB9" w:rsidRPr="00737594" w:rsidRDefault="00247C18" w:rsidP="00737594">
                                <w:pPr>
                                  <w:pStyle w:val="Innehll1"/>
                                  <w:spacing w:line="360" w:lineRule="auto"/>
                                  <w:rPr>
                                    <w:rFonts w:ascii="Arial" w:eastAsiaTheme="minorEastAsia" w:hAnsi="Arial" w:cs="Arial"/>
                                    <w:lang w:eastAsia="sv-SE"/>
                                  </w:rPr>
                                </w:pPr>
                                <w:hyperlink w:anchor="_Toc481738296" w:history="1">
                                  <w:r w:rsidR="00EE1BB9" w:rsidRPr="00737594">
                                    <w:rPr>
                                      <w:rStyle w:val="Hyperlnk"/>
                                      <w:rFonts w:ascii="Arial" w:hAnsi="Arial" w:cs="Arial"/>
                                      <w:sz w:val="24"/>
                                      <w:szCs w:val="24"/>
                                    </w:rPr>
                                    <w:t>Slutsatser och rekommendationer</w:t>
                                  </w:r>
                                  <w:r w:rsidR="00EE1BB9" w:rsidRPr="00737594">
                                    <w:rPr>
                                      <w:rFonts w:ascii="Arial" w:hAnsi="Arial" w:cs="Arial"/>
                                      <w:webHidden/>
                                    </w:rPr>
                                    <w:tab/>
                                  </w:r>
                                  <w:r w:rsidR="00EE1BB9" w:rsidRPr="00737594">
                                    <w:rPr>
                                      <w:rFonts w:ascii="Arial" w:hAnsi="Arial" w:cs="Arial"/>
                                      <w:webHidden/>
                                    </w:rPr>
                                    <w:fldChar w:fldCharType="begin"/>
                                  </w:r>
                                  <w:r w:rsidR="00EE1BB9" w:rsidRPr="00737594">
                                    <w:rPr>
                                      <w:rFonts w:ascii="Arial" w:hAnsi="Arial" w:cs="Arial"/>
                                      <w:webHidden/>
                                    </w:rPr>
                                    <w:instrText xml:space="preserve"> PAGEREF _Toc481738296 \h </w:instrText>
                                  </w:r>
                                  <w:r w:rsidR="00EE1BB9" w:rsidRPr="00737594">
                                    <w:rPr>
                                      <w:rFonts w:ascii="Arial" w:hAnsi="Arial" w:cs="Arial"/>
                                      <w:webHidden/>
                                    </w:rPr>
                                  </w:r>
                                  <w:r w:rsidR="00EE1BB9" w:rsidRPr="00737594">
                                    <w:rPr>
                                      <w:rFonts w:ascii="Arial" w:hAnsi="Arial" w:cs="Arial"/>
                                      <w:webHidden/>
                                    </w:rPr>
                                    <w:fldChar w:fldCharType="separate"/>
                                  </w:r>
                                  <w:r w:rsidR="006450EC">
                                    <w:rPr>
                                      <w:rFonts w:ascii="Arial" w:hAnsi="Arial" w:cs="Arial"/>
                                      <w:noProof/>
                                      <w:webHidden/>
                                    </w:rPr>
                                    <w:t>17</w:t>
                                  </w:r>
                                  <w:r w:rsidR="00EE1BB9" w:rsidRPr="00737594">
                                    <w:rPr>
                                      <w:rFonts w:ascii="Arial" w:hAnsi="Arial" w:cs="Arial"/>
                                      <w:webHidden/>
                                    </w:rPr>
                                    <w:fldChar w:fldCharType="end"/>
                                  </w:r>
                                </w:hyperlink>
                              </w:p>
                              <w:p w:rsidR="00EE1BB9" w:rsidRPr="00737594" w:rsidRDefault="00247C18" w:rsidP="00737594">
                                <w:pPr>
                                  <w:pStyle w:val="Innehll2"/>
                                  <w:tabs>
                                    <w:tab w:val="right" w:leader="dot" w:pos="9062"/>
                                  </w:tabs>
                                  <w:spacing w:line="360" w:lineRule="auto"/>
                                  <w:rPr>
                                    <w:rFonts w:ascii="Arial" w:eastAsiaTheme="minorEastAsia" w:hAnsi="Arial" w:cs="Arial"/>
                                    <w:sz w:val="24"/>
                                    <w:szCs w:val="24"/>
                                    <w:lang w:eastAsia="sv-SE"/>
                                  </w:rPr>
                                </w:pPr>
                                <w:hyperlink w:anchor="_Toc481738297" w:history="1">
                                  <w:r w:rsidR="00EE1BB9" w:rsidRPr="00737594">
                                    <w:rPr>
                                      <w:rStyle w:val="Hyperlnk"/>
                                      <w:rFonts w:ascii="Arial" w:hAnsi="Arial" w:cs="Arial"/>
                                      <w:sz w:val="24"/>
                                      <w:szCs w:val="24"/>
                                    </w:rPr>
                                    <w:t>Allas rätt till ett vuxenliv – ett bostadspolitiskt uppdrag!</w:t>
                                  </w:r>
                                  <w:r w:rsidR="00EE1BB9" w:rsidRPr="00737594">
                                    <w:rPr>
                                      <w:rFonts w:ascii="Arial" w:hAnsi="Arial" w:cs="Arial"/>
                                      <w:webHidden/>
                                      <w:sz w:val="24"/>
                                      <w:szCs w:val="24"/>
                                    </w:rPr>
                                    <w:tab/>
                                  </w:r>
                                  <w:r w:rsidR="00EE1BB9" w:rsidRPr="00737594">
                                    <w:rPr>
                                      <w:rFonts w:ascii="Arial" w:hAnsi="Arial" w:cs="Arial"/>
                                      <w:webHidden/>
                                      <w:sz w:val="24"/>
                                      <w:szCs w:val="24"/>
                                    </w:rPr>
                                    <w:fldChar w:fldCharType="begin"/>
                                  </w:r>
                                  <w:r w:rsidR="00EE1BB9" w:rsidRPr="00737594">
                                    <w:rPr>
                                      <w:rFonts w:ascii="Arial" w:hAnsi="Arial" w:cs="Arial"/>
                                      <w:webHidden/>
                                      <w:sz w:val="24"/>
                                      <w:szCs w:val="24"/>
                                    </w:rPr>
                                    <w:instrText xml:space="preserve"> PAGEREF _Toc481738297 \h </w:instrText>
                                  </w:r>
                                  <w:r w:rsidR="00EE1BB9" w:rsidRPr="00737594">
                                    <w:rPr>
                                      <w:rFonts w:ascii="Arial" w:hAnsi="Arial" w:cs="Arial"/>
                                      <w:webHidden/>
                                      <w:sz w:val="24"/>
                                      <w:szCs w:val="24"/>
                                    </w:rPr>
                                  </w:r>
                                  <w:r w:rsidR="00EE1BB9" w:rsidRPr="00737594">
                                    <w:rPr>
                                      <w:rFonts w:ascii="Arial" w:hAnsi="Arial" w:cs="Arial"/>
                                      <w:webHidden/>
                                      <w:sz w:val="24"/>
                                      <w:szCs w:val="24"/>
                                    </w:rPr>
                                    <w:fldChar w:fldCharType="separate"/>
                                  </w:r>
                                  <w:r w:rsidR="006450EC">
                                    <w:rPr>
                                      <w:rFonts w:ascii="Arial" w:hAnsi="Arial" w:cs="Arial"/>
                                      <w:noProof/>
                                      <w:webHidden/>
                                      <w:sz w:val="24"/>
                                      <w:szCs w:val="24"/>
                                    </w:rPr>
                                    <w:t>17</w:t>
                                  </w:r>
                                  <w:r w:rsidR="00EE1BB9" w:rsidRPr="00737594">
                                    <w:rPr>
                                      <w:rFonts w:ascii="Arial" w:hAnsi="Arial" w:cs="Arial"/>
                                      <w:webHidden/>
                                      <w:sz w:val="24"/>
                                      <w:szCs w:val="24"/>
                                    </w:rPr>
                                    <w:fldChar w:fldCharType="end"/>
                                  </w:r>
                                </w:hyperlink>
                              </w:p>
                              <w:p w:rsidR="00EE1BB9" w:rsidRPr="00737594" w:rsidRDefault="00247C18" w:rsidP="00737594">
                                <w:pPr>
                                  <w:pStyle w:val="Innehll1"/>
                                  <w:spacing w:line="360" w:lineRule="auto"/>
                                  <w:rPr>
                                    <w:rFonts w:ascii="Arial" w:eastAsiaTheme="minorEastAsia" w:hAnsi="Arial" w:cs="Arial"/>
                                    <w:lang w:eastAsia="sv-SE"/>
                                  </w:rPr>
                                </w:pPr>
                                <w:hyperlink w:anchor="_Toc481738298" w:history="1">
                                  <w:r w:rsidR="00EE1BB9" w:rsidRPr="00737594">
                                    <w:rPr>
                                      <w:rStyle w:val="Hyperlnk"/>
                                      <w:rFonts w:ascii="Arial" w:hAnsi="Arial" w:cs="Arial"/>
                                      <w:sz w:val="24"/>
                                      <w:szCs w:val="24"/>
                                    </w:rPr>
                                    <w:t>Referenser</w:t>
                                  </w:r>
                                  <w:r w:rsidR="00EE1BB9" w:rsidRPr="00737594">
                                    <w:rPr>
                                      <w:rFonts w:ascii="Arial" w:hAnsi="Arial" w:cs="Arial"/>
                                      <w:webHidden/>
                                    </w:rPr>
                                    <w:tab/>
                                  </w:r>
                                  <w:r w:rsidR="00EE1BB9" w:rsidRPr="00737594">
                                    <w:rPr>
                                      <w:rFonts w:ascii="Arial" w:hAnsi="Arial" w:cs="Arial"/>
                                      <w:webHidden/>
                                    </w:rPr>
                                    <w:fldChar w:fldCharType="begin"/>
                                  </w:r>
                                  <w:r w:rsidR="00EE1BB9" w:rsidRPr="00737594">
                                    <w:rPr>
                                      <w:rFonts w:ascii="Arial" w:hAnsi="Arial" w:cs="Arial"/>
                                      <w:webHidden/>
                                    </w:rPr>
                                    <w:instrText xml:space="preserve"> PAGEREF _Toc481738298 \h </w:instrText>
                                  </w:r>
                                  <w:r w:rsidR="00EE1BB9" w:rsidRPr="00737594">
                                    <w:rPr>
                                      <w:rFonts w:ascii="Arial" w:hAnsi="Arial" w:cs="Arial"/>
                                      <w:webHidden/>
                                    </w:rPr>
                                  </w:r>
                                  <w:r w:rsidR="00EE1BB9" w:rsidRPr="00737594">
                                    <w:rPr>
                                      <w:rFonts w:ascii="Arial" w:hAnsi="Arial" w:cs="Arial"/>
                                      <w:webHidden/>
                                    </w:rPr>
                                    <w:fldChar w:fldCharType="separate"/>
                                  </w:r>
                                  <w:r w:rsidR="006450EC">
                                    <w:rPr>
                                      <w:rFonts w:ascii="Arial" w:hAnsi="Arial" w:cs="Arial"/>
                                      <w:noProof/>
                                      <w:webHidden/>
                                    </w:rPr>
                                    <w:t>18</w:t>
                                  </w:r>
                                  <w:r w:rsidR="00EE1BB9" w:rsidRPr="00737594">
                                    <w:rPr>
                                      <w:rFonts w:ascii="Arial" w:hAnsi="Arial" w:cs="Arial"/>
                                      <w:webHidden/>
                                    </w:rPr>
                                    <w:fldChar w:fldCharType="end"/>
                                  </w:r>
                                </w:hyperlink>
                              </w:p>
                              <w:p w:rsidR="00EE1BB9" w:rsidRDefault="00EE1BB9" w:rsidP="00737594">
                                <w:pPr>
                                  <w:spacing w:line="360" w:lineRule="auto"/>
                                  <w:rPr>
                                    <w:bCs/>
                                  </w:rPr>
                                </w:pPr>
                                <w:r w:rsidRPr="00737594">
                                  <w:rPr>
                                    <w:rFonts w:ascii="Arial" w:hAnsi="Arial" w:cs="Arial"/>
                                    <w:sz w:val="24"/>
                                    <w:szCs w:val="24"/>
                                  </w:rPr>
                                  <w:fldChar w:fldCharType="end"/>
                                </w:r>
                              </w:p>
                            </w:sdtContent>
                          </w:sdt>
                          <w:p w:rsidR="00EE1BB9" w:rsidRDefault="00EE1BB9" w:rsidP="00EE1B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ktangel 14" o:spid="_x0000_s1028" style="position:absolute;left:0;text-align:left;margin-left:-19.1pt;margin-top:19.5pt;width:489.75pt;height:6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" fillcolor="#a5a5a5 [2092]" strokecolor="#1f4d78 [1604]" strokeweight="1pt">
                <v:textbox>
                  <w:txbxContent>
                    <w:sdt>
                      <w:sdtPr>
                        <w:rPr>
                          <w:rFonts w:ascii="Arial" w:eastAsiaTheme="minorHAnsi" w:hAnsi="Arial" w:cs="Arial"/>
                          <w:color w:val="auto"/>
                          <w:sz w:val="22"/>
                          <w:szCs w:val="22"/>
                          <w:lang w:val="sv-SE"/>
                        </w:rPr>
                        <w:id w:val="-892110056"/>
                        <w:docPartObj>
                          <w:docPartGallery w:val="Table of Contents"/>
                          <w:docPartUnique/>
                        </w:docPartObj>
                      </w:sdtPr>
                      <w:sdtEndPr>
                        <w:rPr>
                          <w:bCs/>
                        </w:rPr>
                      </w:sdtEndPr>
                      <w:sdtContent>
                        <w:p w:rsidR="002F1EDE" w:rsidRPr="00737594" w:rsidRDefault="00EE1BB9" w:rsidP="00737594">
                          <w:pPr>
                            <w:pStyle w:val="Innehllsfrteckningsrubrik"/>
                            <w:spacing w:line="360" w:lineRule="auto"/>
                            <w:jc w:val="left"/>
                            <w:rPr>
                              <w:rFonts w:ascii="Arial" w:hAnsi="Arial" w:cs="Arial"/>
                              <w:sz w:val="48"/>
                              <w:szCs w:val="48"/>
                              <w:lang w:val="sv-SE"/>
                            </w:rPr>
                          </w:pPr>
                          <w:r w:rsidRPr="00737594">
                            <w:rPr>
                              <w:rFonts w:ascii="Arial" w:hAnsi="Arial" w:cs="Arial"/>
                              <w:sz w:val="48"/>
                              <w:szCs w:val="48"/>
                              <w:lang w:val="sv-SE"/>
                            </w:rPr>
                            <w:t>Innehåll</w:t>
                          </w:r>
                        </w:p>
                        <w:p w:rsidR="002F1EDE" w:rsidRPr="00737594" w:rsidRDefault="002F1EDE" w:rsidP="00737594">
                          <w:pPr>
                            <w:pStyle w:val="Innehll1"/>
                            <w:spacing w:line="360" w:lineRule="auto"/>
                            <w:rPr>
                              <w:rFonts w:ascii="Arial" w:hAnsi="Arial" w:cs="Arial"/>
                            </w:rPr>
                          </w:pPr>
                        </w:p>
                        <w:p w:rsidR="00EE1BB9" w:rsidRPr="00737594" w:rsidRDefault="00EE1BB9" w:rsidP="00737594">
                          <w:pPr>
                            <w:pStyle w:val="Innehll1"/>
                            <w:spacing w:line="360" w:lineRule="auto"/>
                            <w:rPr>
                              <w:rFonts w:ascii="Arial" w:eastAsiaTheme="minorEastAsia" w:hAnsi="Arial" w:cs="Arial"/>
                              <w:lang w:eastAsia="sv-SE"/>
                            </w:rPr>
                          </w:pPr>
                          <w:r w:rsidRPr="00737594">
                            <w:rPr>
                              <w:rFonts w:ascii="Arial" w:hAnsi="Arial" w:cs="Arial"/>
                            </w:rPr>
                            <w:fldChar w:fldCharType="begin"/>
                          </w:r>
                          <w:r w:rsidRPr="00737594">
                            <w:rPr>
                              <w:rFonts w:ascii="Arial" w:hAnsi="Arial" w:cs="Arial"/>
                            </w:rPr>
                            <w:instrText xml:space="preserve"> TOC \o "1-3" \h \z \u </w:instrText>
                          </w:r>
                          <w:r w:rsidRPr="00737594">
                            <w:rPr>
                              <w:rFonts w:ascii="Arial" w:hAnsi="Arial" w:cs="Arial"/>
                            </w:rPr>
                            <w:fldChar w:fldCharType="separate"/>
                          </w:r>
                          <w:hyperlink w:anchor="_Toc481738281" w:history="1">
                            <w:r w:rsidRPr="00737594">
                              <w:rPr>
                                <w:rStyle w:val="Hyperlnk"/>
                                <w:rFonts w:ascii="Arial" w:hAnsi="Arial" w:cs="Arial"/>
                                <w:sz w:val="24"/>
                                <w:szCs w:val="24"/>
                              </w:rPr>
                              <w:t>Bostadsbrist, utsatthet och möjligheter</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_Toc481738281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3</w:t>
                            </w:r>
                            <w:r w:rsidRPr="00737594">
                              <w:rPr>
                                <w:rFonts w:ascii="Arial" w:hAnsi="Arial" w:cs="Arial"/>
                                <w:webHidden/>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82" w:history="1">
                            <w:r w:rsidRPr="00737594">
                              <w:rPr>
                                <w:rStyle w:val="Hyperlnk"/>
                                <w:rFonts w:ascii="Arial" w:hAnsi="Arial" w:cs="Arial"/>
                                <w:sz w:val="24"/>
                                <w:szCs w:val="24"/>
                              </w:rPr>
                              <w:t>Om rapporten</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_Toc481738282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3</w:t>
                            </w:r>
                            <w:r w:rsidRPr="00737594">
                              <w:rPr>
                                <w:rFonts w:ascii="Arial" w:hAnsi="Arial" w:cs="Arial"/>
                                <w:webHidden/>
                                <w:sz w:val="24"/>
                                <w:szCs w:val="24"/>
                              </w:rPr>
                              <w:fldChar w:fldCharType="end"/>
                            </w:r>
                          </w:hyperlink>
                        </w:p>
                        <w:p w:rsidR="00EE1BB9" w:rsidRPr="00737594" w:rsidRDefault="00EE1BB9" w:rsidP="00737594">
                          <w:pPr>
                            <w:pStyle w:val="Innehll3"/>
                            <w:tabs>
                              <w:tab w:val="right" w:leader="dot" w:pos="9062"/>
                            </w:tabs>
                            <w:spacing w:line="360" w:lineRule="auto"/>
                            <w:rPr>
                              <w:rFonts w:ascii="Arial" w:eastAsiaTheme="minorEastAsia" w:hAnsi="Arial" w:cs="Arial"/>
                              <w:sz w:val="24"/>
                              <w:szCs w:val="24"/>
                              <w:lang w:eastAsia="sv-SE"/>
                            </w:rPr>
                          </w:pPr>
                          <w:hyperlink w:anchor="_Toc481738283" w:history="1">
                            <w:r w:rsidRPr="00737594">
                              <w:rPr>
                                <w:rStyle w:val="Hyperlnk"/>
                                <w:rFonts w:ascii="Arial" w:hAnsi="Arial" w:cs="Arial"/>
                                <w:sz w:val="24"/>
                                <w:szCs w:val="24"/>
                              </w:rPr>
                              <w:t>Undersökningsmetoden</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_Toc481738283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4</w:t>
                            </w:r>
                            <w:r w:rsidRPr="00737594">
                              <w:rPr>
                                <w:rFonts w:ascii="Arial" w:hAnsi="Arial" w:cs="Arial"/>
                                <w:webHidden/>
                                <w:sz w:val="24"/>
                                <w:szCs w:val="24"/>
                              </w:rPr>
                              <w:fldChar w:fldCharType="end"/>
                            </w:r>
                          </w:hyperlink>
                        </w:p>
                        <w:p w:rsidR="00EE1BB9" w:rsidRPr="00737594" w:rsidRDefault="00EE1BB9" w:rsidP="00737594">
                          <w:pPr>
                            <w:pStyle w:val="Innehll1"/>
                            <w:spacing w:line="360" w:lineRule="auto"/>
                            <w:rPr>
                              <w:rFonts w:ascii="Arial" w:eastAsiaTheme="minorEastAsia" w:hAnsi="Arial" w:cs="Arial"/>
                              <w:lang w:eastAsia="sv-SE"/>
                            </w:rPr>
                          </w:pPr>
                          <w:hyperlink w:anchor="_Toc481738284" w:history="1">
                            <w:r w:rsidRPr="00737594">
                              <w:rPr>
                                <w:rStyle w:val="Hyperlnk"/>
                                <w:rFonts w:ascii="Arial" w:hAnsi="Arial" w:cs="Arial"/>
                                <w:sz w:val="24"/>
                                <w:szCs w:val="24"/>
                              </w:rPr>
                              <w:t>Bostadssituationen för unga vuxna i Storgöteborg</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_Toc481738284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5</w:t>
                            </w:r>
                            <w:r w:rsidRPr="00737594">
                              <w:rPr>
                                <w:rFonts w:ascii="Arial" w:hAnsi="Arial" w:cs="Arial"/>
                                <w:webHidden/>
                              </w:rPr>
                              <w:fldChar w:fldCharType="end"/>
                            </w:r>
                          </w:hyperlink>
                        </w:p>
                        <w:p w:rsidR="00EE1BB9" w:rsidRPr="00737594" w:rsidRDefault="00EE1BB9" w:rsidP="00737594">
                          <w:pPr>
                            <w:pStyle w:val="Innehll1"/>
                            <w:spacing w:line="360" w:lineRule="auto"/>
                            <w:rPr>
                              <w:rFonts w:ascii="Arial" w:eastAsiaTheme="minorEastAsia" w:hAnsi="Arial" w:cs="Arial"/>
                              <w:lang w:eastAsia="sv-SE"/>
                            </w:rPr>
                          </w:pPr>
                          <w:hyperlink w:anchor="_Toc481738285" w:history="1">
                            <w:r w:rsidRPr="00737594">
                              <w:rPr>
                                <w:rStyle w:val="Hyperlnk"/>
                                <w:rFonts w:ascii="Arial" w:hAnsi="Arial" w:cs="Arial"/>
                                <w:sz w:val="24"/>
                                <w:szCs w:val="24"/>
                                <w:lang w:eastAsia="sv-SE"/>
                              </w:rPr>
                              <w:t>Unga vuxna som bor kvar hemma</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_Toc481738285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7</w:t>
                            </w:r>
                            <w:r w:rsidRPr="00737594">
                              <w:rPr>
                                <w:rFonts w:ascii="Arial" w:hAnsi="Arial" w:cs="Arial"/>
                                <w:webHidden/>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86" w:history="1">
                            <w:r w:rsidRPr="00737594">
                              <w:rPr>
                                <w:rStyle w:val="Hyperlnk"/>
                                <w:rFonts w:ascii="Arial" w:hAnsi="Arial" w:cs="Arial"/>
                                <w:sz w:val="24"/>
                                <w:szCs w:val="24"/>
                              </w:rPr>
                              <w:t>Hemmaboende i Storgöteborgs kommuner</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_Toc481738286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7</w:t>
                            </w:r>
                            <w:r w:rsidRPr="00737594">
                              <w:rPr>
                                <w:rFonts w:ascii="Arial" w:hAnsi="Arial" w:cs="Arial"/>
                                <w:webHidden/>
                                <w:sz w:val="24"/>
                                <w:szCs w:val="24"/>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87" w:history="1">
                            <w:r w:rsidRPr="00737594">
                              <w:rPr>
                                <w:rStyle w:val="Hyperlnk"/>
                                <w:rFonts w:ascii="Arial" w:hAnsi="Arial" w:cs="Arial"/>
                                <w:sz w:val="24"/>
                                <w:szCs w:val="24"/>
                              </w:rPr>
                              <w:t>Hyresrätten populär som första boendeform</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_Toc481738287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9</w:t>
                            </w:r>
                            <w:r w:rsidRPr="00737594">
                              <w:rPr>
                                <w:rFonts w:ascii="Arial" w:hAnsi="Arial" w:cs="Arial"/>
                                <w:webHidden/>
                                <w:sz w:val="24"/>
                                <w:szCs w:val="24"/>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88" w:history="1">
                            <w:r w:rsidRPr="00737594">
                              <w:rPr>
                                <w:rStyle w:val="Hyperlnk"/>
                                <w:rFonts w:ascii="Arial" w:hAnsi="Arial" w:cs="Arial"/>
                                <w:sz w:val="24"/>
                                <w:szCs w:val="24"/>
                              </w:rPr>
                              <w:t>Hemmaboendets ekonomi – halvvägs till eget ansvar</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_Toc481738288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9</w:t>
                            </w:r>
                            <w:r w:rsidRPr="00737594">
                              <w:rPr>
                                <w:rFonts w:ascii="Arial" w:hAnsi="Arial" w:cs="Arial"/>
                                <w:webHidden/>
                                <w:sz w:val="24"/>
                                <w:szCs w:val="24"/>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89" w:history="1">
                            <w:r w:rsidRPr="00737594">
                              <w:rPr>
                                <w:rStyle w:val="Hyperlnk"/>
                                <w:rFonts w:ascii="Arial" w:hAnsi="Arial" w:cs="Arial"/>
                                <w:sz w:val="24"/>
                                <w:szCs w:val="24"/>
                              </w:rPr>
                              <w:t>Utmaningar för hemmaboende unga vuxna</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_Toc481738289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10</w:t>
                            </w:r>
                            <w:r w:rsidRPr="00737594">
                              <w:rPr>
                                <w:rFonts w:ascii="Arial" w:hAnsi="Arial" w:cs="Arial"/>
                                <w:webHidden/>
                                <w:sz w:val="24"/>
                                <w:szCs w:val="24"/>
                              </w:rPr>
                              <w:fldChar w:fldCharType="end"/>
                            </w:r>
                          </w:hyperlink>
                        </w:p>
                        <w:p w:rsidR="00EE1BB9" w:rsidRPr="00737594" w:rsidRDefault="00EE1BB9" w:rsidP="00737594">
                          <w:pPr>
                            <w:pStyle w:val="Innehll1"/>
                            <w:spacing w:line="360" w:lineRule="auto"/>
                            <w:rPr>
                              <w:rFonts w:ascii="Arial" w:eastAsiaTheme="minorEastAsia" w:hAnsi="Arial" w:cs="Arial"/>
                              <w:lang w:eastAsia="sv-SE"/>
                            </w:rPr>
                          </w:pPr>
                          <w:hyperlink w:anchor="_Toc481738290" w:history="1">
                            <w:r w:rsidRPr="00737594">
                              <w:rPr>
                                <w:rStyle w:val="Hyperlnk"/>
                                <w:rFonts w:ascii="Arial" w:hAnsi="Arial" w:cs="Arial"/>
                                <w:sz w:val="24"/>
                                <w:szCs w:val="24"/>
                                <w:lang w:eastAsia="sv-SE"/>
                              </w:rPr>
                              <w:t>Unga vuxna som har skaffat sig eget boende</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_Toc481738290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11</w:t>
                            </w:r>
                            <w:r w:rsidRPr="00737594">
                              <w:rPr>
                                <w:rFonts w:ascii="Arial" w:hAnsi="Arial" w:cs="Arial"/>
                                <w:webHidden/>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91" w:history="1">
                            <w:r w:rsidRPr="00737594">
                              <w:rPr>
                                <w:rStyle w:val="Hyperlnk"/>
                                <w:rFonts w:ascii="Arial" w:hAnsi="Arial" w:cs="Arial"/>
                                <w:sz w:val="24"/>
                                <w:szCs w:val="24"/>
                              </w:rPr>
                              <w:t>Boendeformer för dem som skaffat sig eget boende</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_Toc481738291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11</w:t>
                            </w:r>
                            <w:r w:rsidRPr="00737594">
                              <w:rPr>
                                <w:rFonts w:ascii="Arial" w:hAnsi="Arial" w:cs="Arial"/>
                                <w:webHidden/>
                                <w:sz w:val="24"/>
                                <w:szCs w:val="24"/>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92" w:history="1">
                            <w:r w:rsidRPr="00737594">
                              <w:rPr>
                                <w:rStyle w:val="Hyperlnk"/>
                                <w:rFonts w:ascii="Arial" w:hAnsi="Arial" w:cs="Arial"/>
                                <w:sz w:val="24"/>
                                <w:szCs w:val="24"/>
                              </w:rPr>
                              <w:t>Boendekostnader för unga vuxna i eget boende</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_Toc481738292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12</w:t>
                            </w:r>
                            <w:r w:rsidRPr="00737594">
                              <w:rPr>
                                <w:rFonts w:ascii="Arial" w:hAnsi="Arial" w:cs="Arial"/>
                                <w:webHidden/>
                                <w:sz w:val="24"/>
                                <w:szCs w:val="24"/>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93" w:history="1">
                            <w:r w:rsidRPr="00737594">
                              <w:rPr>
                                <w:rStyle w:val="Hyperlnk"/>
                                <w:rFonts w:ascii="Arial" w:hAnsi="Arial" w:cs="Arial"/>
                                <w:sz w:val="24"/>
                                <w:szCs w:val="24"/>
                              </w:rPr>
                              <w:t>Utmaningar för unga vuxna med eget boende</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_Toc481738293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12</w:t>
                            </w:r>
                            <w:r w:rsidRPr="00737594">
                              <w:rPr>
                                <w:rFonts w:ascii="Arial" w:hAnsi="Arial" w:cs="Arial"/>
                                <w:webHidden/>
                                <w:sz w:val="24"/>
                                <w:szCs w:val="24"/>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94" w:history="1">
                            <w:r w:rsidRPr="00737594">
                              <w:rPr>
                                <w:rStyle w:val="Hyperlnk"/>
                                <w:rFonts w:ascii="Arial" w:hAnsi="Arial" w:cs="Arial"/>
                                <w:sz w:val="24"/>
                                <w:szCs w:val="24"/>
                              </w:rPr>
                              <w:t>Absolut ekonomisk fattigdom för unga vuxna med eget boende</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_Toc481738294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13</w:t>
                            </w:r>
                            <w:r w:rsidRPr="00737594">
                              <w:rPr>
                                <w:rFonts w:ascii="Arial" w:hAnsi="Arial" w:cs="Arial"/>
                                <w:webHidden/>
                                <w:sz w:val="24"/>
                                <w:szCs w:val="24"/>
                              </w:rPr>
                              <w:fldChar w:fldCharType="end"/>
                            </w:r>
                          </w:hyperlink>
                        </w:p>
                        <w:p w:rsidR="00EE1BB9" w:rsidRPr="00737594" w:rsidRDefault="00EE1BB9" w:rsidP="00737594">
                          <w:pPr>
                            <w:pStyle w:val="Innehll1"/>
                            <w:spacing w:line="360" w:lineRule="auto"/>
                            <w:rPr>
                              <w:rFonts w:ascii="Arial" w:eastAsiaTheme="minorEastAsia" w:hAnsi="Arial" w:cs="Arial"/>
                              <w:lang w:eastAsia="sv-SE"/>
                            </w:rPr>
                          </w:pPr>
                          <w:hyperlink w:anchor="_Toc481738295" w:history="1">
                            <w:r w:rsidRPr="00737594">
                              <w:rPr>
                                <w:rStyle w:val="Hyperlnk"/>
                                <w:rFonts w:ascii="Arial" w:hAnsi="Arial" w:cs="Arial"/>
                                <w:sz w:val="24"/>
                                <w:szCs w:val="24"/>
                              </w:rPr>
                              <w:t>Hur påverkar unga vuxnas utsatthet deras möjligheter?</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_Toc481738295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15</w:t>
                            </w:r>
                            <w:r w:rsidRPr="00737594">
                              <w:rPr>
                                <w:rFonts w:ascii="Arial" w:hAnsi="Arial" w:cs="Arial"/>
                                <w:webHidden/>
                              </w:rPr>
                              <w:fldChar w:fldCharType="end"/>
                            </w:r>
                          </w:hyperlink>
                        </w:p>
                        <w:p w:rsidR="00EE1BB9" w:rsidRPr="00737594" w:rsidRDefault="00EE1BB9" w:rsidP="00737594">
                          <w:pPr>
                            <w:pStyle w:val="Innehll1"/>
                            <w:spacing w:line="360" w:lineRule="auto"/>
                            <w:rPr>
                              <w:rFonts w:ascii="Arial" w:eastAsiaTheme="minorEastAsia" w:hAnsi="Arial" w:cs="Arial"/>
                              <w:lang w:eastAsia="sv-SE"/>
                            </w:rPr>
                          </w:pPr>
                          <w:hyperlink w:anchor="_Toc481738296" w:history="1">
                            <w:r w:rsidRPr="00737594">
                              <w:rPr>
                                <w:rStyle w:val="Hyperlnk"/>
                                <w:rFonts w:ascii="Arial" w:hAnsi="Arial" w:cs="Arial"/>
                                <w:sz w:val="24"/>
                                <w:szCs w:val="24"/>
                              </w:rPr>
                              <w:t>Slutsatser och rekommendationer</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_Toc481738296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17</w:t>
                            </w:r>
                            <w:r w:rsidRPr="00737594">
                              <w:rPr>
                                <w:rFonts w:ascii="Arial" w:hAnsi="Arial" w:cs="Arial"/>
                                <w:webHidden/>
                              </w:rPr>
                              <w:fldChar w:fldCharType="end"/>
                            </w:r>
                          </w:hyperlink>
                        </w:p>
                        <w:p w:rsidR="00EE1BB9" w:rsidRPr="00737594" w:rsidRDefault="00EE1BB9" w:rsidP="00737594">
                          <w:pPr>
                            <w:pStyle w:val="Innehll2"/>
                            <w:tabs>
                              <w:tab w:val="right" w:leader="dot" w:pos="9062"/>
                            </w:tabs>
                            <w:spacing w:line="360" w:lineRule="auto"/>
                            <w:rPr>
                              <w:rFonts w:ascii="Arial" w:eastAsiaTheme="minorEastAsia" w:hAnsi="Arial" w:cs="Arial"/>
                              <w:sz w:val="24"/>
                              <w:szCs w:val="24"/>
                              <w:lang w:eastAsia="sv-SE"/>
                            </w:rPr>
                          </w:pPr>
                          <w:hyperlink w:anchor="_Toc481738297" w:history="1">
                            <w:r w:rsidRPr="00737594">
                              <w:rPr>
                                <w:rStyle w:val="Hyperlnk"/>
                                <w:rFonts w:ascii="Arial" w:hAnsi="Arial" w:cs="Arial"/>
                                <w:sz w:val="24"/>
                                <w:szCs w:val="24"/>
                              </w:rPr>
                              <w:t>Allas rätt till ett vuxenliv – ett bostadspolitiskt uppdrag!</w:t>
                            </w:r>
                            <w:r w:rsidRPr="00737594">
                              <w:rPr>
                                <w:rFonts w:ascii="Arial" w:hAnsi="Arial" w:cs="Arial"/>
                                <w:webHidden/>
                                <w:sz w:val="24"/>
                                <w:szCs w:val="24"/>
                              </w:rPr>
                              <w:tab/>
                            </w:r>
                            <w:r w:rsidRPr="00737594">
                              <w:rPr>
                                <w:rFonts w:ascii="Arial" w:hAnsi="Arial" w:cs="Arial"/>
                                <w:webHidden/>
                                <w:sz w:val="24"/>
                                <w:szCs w:val="24"/>
                              </w:rPr>
                              <w:fldChar w:fldCharType="begin"/>
                            </w:r>
                            <w:r w:rsidRPr="00737594">
                              <w:rPr>
                                <w:rFonts w:ascii="Arial" w:hAnsi="Arial" w:cs="Arial"/>
                                <w:webHidden/>
                                <w:sz w:val="24"/>
                                <w:szCs w:val="24"/>
                              </w:rPr>
                              <w:instrText xml:space="preserve"> PAGEREF _Toc481738297 \h </w:instrText>
                            </w:r>
                            <w:r w:rsidRPr="00737594">
                              <w:rPr>
                                <w:rFonts w:ascii="Arial" w:hAnsi="Arial" w:cs="Arial"/>
                                <w:webHidden/>
                                <w:sz w:val="24"/>
                                <w:szCs w:val="24"/>
                              </w:rPr>
                            </w:r>
                            <w:r w:rsidRPr="00737594">
                              <w:rPr>
                                <w:rFonts w:ascii="Arial" w:hAnsi="Arial" w:cs="Arial"/>
                                <w:webHidden/>
                                <w:sz w:val="24"/>
                                <w:szCs w:val="24"/>
                              </w:rPr>
                              <w:fldChar w:fldCharType="separate"/>
                            </w:r>
                            <w:r w:rsidR="006450EC">
                              <w:rPr>
                                <w:rFonts w:ascii="Arial" w:hAnsi="Arial" w:cs="Arial"/>
                                <w:noProof/>
                                <w:webHidden/>
                                <w:sz w:val="24"/>
                                <w:szCs w:val="24"/>
                              </w:rPr>
                              <w:t>17</w:t>
                            </w:r>
                            <w:r w:rsidRPr="00737594">
                              <w:rPr>
                                <w:rFonts w:ascii="Arial" w:hAnsi="Arial" w:cs="Arial"/>
                                <w:webHidden/>
                                <w:sz w:val="24"/>
                                <w:szCs w:val="24"/>
                              </w:rPr>
                              <w:fldChar w:fldCharType="end"/>
                            </w:r>
                          </w:hyperlink>
                        </w:p>
                        <w:p w:rsidR="00EE1BB9" w:rsidRPr="00737594" w:rsidRDefault="00EE1BB9" w:rsidP="00737594">
                          <w:pPr>
                            <w:pStyle w:val="Innehll1"/>
                            <w:spacing w:line="360" w:lineRule="auto"/>
                            <w:rPr>
                              <w:rFonts w:ascii="Arial" w:eastAsiaTheme="minorEastAsia" w:hAnsi="Arial" w:cs="Arial"/>
                              <w:lang w:eastAsia="sv-SE"/>
                            </w:rPr>
                          </w:pPr>
                          <w:hyperlink w:anchor="_Toc481738298" w:history="1">
                            <w:r w:rsidRPr="00737594">
                              <w:rPr>
                                <w:rStyle w:val="Hyperlnk"/>
                                <w:rFonts w:ascii="Arial" w:hAnsi="Arial" w:cs="Arial"/>
                                <w:sz w:val="24"/>
                                <w:szCs w:val="24"/>
                              </w:rPr>
                              <w:t>Referenser</w:t>
                            </w:r>
                            <w:r w:rsidRPr="00737594">
                              <w:rPr>
                                <w:rFonts w:ascii="Arial" w:hAnsi="Arial" w:cs="Arial"/>
                                <w:webHidden/>
                              </w:rPr>
                              <w:tab/>
                            </w:r>
                            <w:r w:rsidRPr="00737594">
                              <w:rPr>
                                <w:rFonts w:ascii="Arial" w:hAnsi="Arial" w:cs="Arial"/>
                                <w:webHidden/>
                              </w:rPr>
                              <w:fldChar w:fldCharType="begin"/>
                            </w:r>
                            <w:r w:rsidRPr="00737594">
                              <w:rPr>
                                <w:rFonts w:ascii="Arial" w:hAnsi="Arial" w:cs="Arial"/>
                                <w:webHidden/>
                              </w:rPr>
                              <w:instrText xml:space="preserve"> PAGEREF _Toc481738298 \h </w:instrText>
                            </w:r>
                            <w:r w:rsidRPr="00737594">
                              <w:rPr>
                                <w:rFonts w:ascii="Arial" w:hAnsi="Arial" w:cs="Arial"/>
                                <w:webHidden/>
                              </w:rPr>
                            </w:r>
                            <w:r w:rsidRPr="00737594">
                              <w:rPr>
                                <w:rFonts w:ascii="Arial" w:hAnsi="Arial" w:cs="Arial"/>
                                <w:webHidden/>
                              </w:rPr>
                              <w:fldChar w:fldCharType="separate"/>
                            </w:r>
                            <w:r w:rsidR="006450EC">
                              <w:rPr>
                                <w:rFonts w:ascii="Arial" w:hAnsi="Arial" w:cs="Arial"/>
                                <w:noProof/>
                                <w:webHidden/>
                              </w:rPr>
                              <w:t>18</w:t>
                            </w:r>
                            <w:r w:rsidRPr="00737594">
                              <w:rPr>
                                <w:rFonts w:ascii="Arial" w:hAnsi="Arial" w:cs="Arial"/>
                                <w:webHidden/>
                              </w:rPr>
                              <w:fldChar w:fldCharType="end"/>
                            </w:r>
                          </w:hyperlink>
                        </w:p>
                        <w:p w:rsidR="00EE1BB9" w:rsidRDefault="00EE1BB9" w:rsidP="00737594">
                          <w:pPr>
                            <w:spacing w:line="360" w:lineRule="auto"/>
                            <w:rPr>
                              <w:bCs/>
                            </w:rPr>
                          </w:pPr>
                          <w:r w:rsidRPr="00737594">
                            <w:rPr>
                              <w:rFonts w:ascii="Arial" w:hAnsi="Arial" w:cs="Arial"/>
                              <w:sz w:val="24"/>
                              <w:szCs w:val="24"/>
                            </w:rPr>
                            <w:fldChar w:fldCharType="end"/>
                          </w:r>
                        </w:p>
                      </w:sdtContent>
                    </w:sdt>
                    <w:p w:rsidR="00EE1BB9" w:rsidRDefault="00EE1BB9" w:rsidP="00EE1BB9">
                      <w:pPr>
                        <w:jc w:val="center"/>
                      </w:pPr>
                    </w:p>
                  </w:txbxContent>
                </v:textbox>
              </v:rect>
            </w:pict>
          </mc:Fallback>
        </mc:AlternateContent>
      </w:r>
      <w:r w:rsidR="00A5575C" w:rsidRPr="007E0B95">
        <w:br w:type="page"/>
      </w:r>
    </w:p>
    <w:p w:rsidR="005532F9" w:rsidRPr="007E0B95" w:rsidRDefault="005532F9" w:rsidP="00D02960"/>
    <w:p w:rsidR="006E4B33" w:rsidRPr="00BC18AC" w:rsidRDefault="009D05B3">
      <w:pPr>
        <w:pStyle w:val="Rubrik1"/>
        <w:rPr>
          <w:rFonts w:ascii="Arial" w:hAnsi="Arial" w:cs="Arial"/>
          <w:b/>
          <w:sz w:val="32"/>
        </w:rPr>
      </w:pPr>
      <w:bookmarkStart w:id="1" w:name="_Toc481738281"/>
      <w:r w:rsidRPr="00BC18AC">
        <w:rPr>
          <w:rFonts w:ascii="Arial" w:hAnsi="Arial" w:cs="Arial"/>
          <w:b/>
          <w:sz w:val="32"/>
        </w:rPr>
        <w:t>Bostadsbrist, utsatthet och möjligheter</w:t>
      </w:r>
      <w:bookmarkEnd w:id="1"/>
    </w:p>
    <w:p w:rsidR="009D05B3" w:rsidRPr="007E0B95" w:rsidRDefault="00BB1035">
      <w:pPr>
        <w:rPr>
          <w:b/>
        </w:rPr>
      </w:pPr>
      <w:r w:rsidRPr="007E0B95">
        <w:rPr>
          <w:b/>
        </w:rPr>
        <w:t>B</w:t>
      </w:r>
      <w:r w:rsidR="006E4B33" w:rsidRPr="007E0B95">
        <w:rPr>
          <w:b/>
        </w:rPr>
        <w:t xml:space="preserve">ostadssituationen för unga vuxna i åldrarna 20-27 år präglas av bostadsbrist, knappa ekonomiska resurser och osäkra villkor. </w:t>
      </w:r>
      <w:r w:rsidRPr="007E0B95">
        <w:rPr>
          <w:b/>
        </w:rPr>
        <w:t xml:space="preserve">Hyresgästföreningen </w:t>
      </w:r>
      <w:r w:rsidR="006E4B33" w:rsidRPr="007E0B95">
        <w:rPr>
          <w:b/>
        </w:rPr>
        <w:t>kan också visa att svårigheterna på bostadsmarknaden är ojämnt fördelade och att de unga vuxna som möter störst svårighet</w:t>
      </w:r>
      <w:r w:rsidR="00D35053">
        <w:rPr>
          <w:b/>
        </w:rPr>
        <w:t>er på bostadsmarknaden också har</w:t>
      </w:r>
      <w:r w:rsidR="006E4B33" w:rsidRPr="007E0B95">
        <w:rPr>
          <w:b/>
        </w:rPr>
        <w:t xml:space="preserve"> minst möjligheter att </w:t>
      </w:r>
      <w:r w:rsidR="002C10DD" w:rsidRPr="007E0B95">
        <w:rPr>
          <w:b/>
        </w:rPr>
        <w:t xml:space="preserve">förändra </w:t>
      </w:r>
      <w:r w:rsidR="006E4B33" w:rsidRPr="007E0B95">
        <w:rPr>
          <w:b/>
        </w:rPr>
        <w:t>sin situation. Följden blir att många unga vuxna idag tvekar inför att bilda familj eller att flytta till jobb och utbildning. I förlängningen innebär det för samhällets del att unga vuxnas drivkraft och talang inte kommer till sin rätt där den bäst behövs</w:t>
      </w:r>
      <w:r w:rsidR="005532F9" w:rsidRPr="007E0B95">
        <w:rPr>
          <w:b/>
        </w:rPr>
        <w:t>.</w:t>
      </w:r>
    </w:p>
    <w:p w:rsidR="00D51032" w:rsidRDefault="00BB1035">
      <w:pPr>
        <w:rPr>
          <w:b/>
        </w:rPr>
      </w:pPr>
      <w:r w:rsidRPr="007E0B95">
        <w:rPr>
          <w:b/>
        </w:rPr>
        <w:t>Vi ser också att h</w:t>
      </w:r>
      <w:r w:rsidR="005532F9" w:rsidRPr="007E0B95">
        <w:rPr>
          <w:b/>
        </w:rPr>
        <w:t xml:space="preserve">yresrätten ofta </w:t>
      </w:r>
      <w:r w:rsidR="002C10DD" w:rsidRPr="007E0B95">
        <w:rPr>
          <w:b/>
        </w:rPr>
        <w:t xml:space="preserve">fungerar </w:t>
      </w:r>
      <w:r w:rsidR="005532F9" w:rsidRPr="007E0B95">
        <w:rPr>
          <w:b/>
        </w:rPr>
        <w:t xml:space="preserve">som människors första boende. </w:t>
      </w:r>
      <w:r w:rsidRPr="007E0B95">
        <w:rPr>
          <w:b/>
        </w:rPr>
        <w:t>T</w:t>
      </w:r>
      <w:r w:rsidR="005532F9" w:rsidRPr="007E0B95">
        <w:rPr>
          <w:b/>
        </w:rPr>
        <w:t xml:space="preserve">rots dagens bristsituation, </w:t>
      </w:r>
      <w:r w:rsidRPr="007E0B95">
        <w:rPr>
          <w:b/>
        </w:rPr>
        <w:t xml:space="preserve">ger hyresrätten </w:t>
      </w:r>
      <w:r w:rsidR="005532F9" w:rsidRPr="007E0B95">
        <w:rPr>
          <w:b/>
        </w:rPr>
        <w:t xml:space="preserve">lägre trösklar att komma in på </w:t>
      </w:r>
      <w:r w:rsidR="009D05B3" w:rsidRPr="007E0B95">
        <w:rPr>
          <w:b/>
        </w:rPr>
        <w:t>bostads</w:t>
      </w:r>
      <w:r w:rsidR="005532F9" w:rsidRPr="007E0B95">
        <w:rPr>
          <w:b/>
        </w:rPr>
        <w:t>marknaden, och</w:t>
      </w:r>
      <w:r w:rsidR="002C10DD" w:rsidRPr="007E0B95">
        <w:rPr>
          <w:b/>
        </w:rPr>
        <w:t xml:space="preserve"> kombinerar flexibilitet och trygghet på ett unikt sätt. Hyresrätten</w:t>
      </w:r>
      <w:r w:rsidR="005532F9" w:rsidRPr="007E0B95">
        <w:rPr>
          <w:b/>
        </w:rPr>
        <w:t xml:space="preserve"> </w:t>
      </w:r>
      <w:r w:rsidRPr="007E0B95">
        <w:rPr>
          <w:b/>
        </w:rPr>
        <w:t>är därför en möjliggörare för många unga vuxna att flytta hemifrån</w:t>
      </w:r>
      <w:r w:rsidR="005532F9" w:rsidRPr="007E0B95">
        <w:rPr>
          <w:b/>
        </w:rPr>
        <w:t xml:space="preserve">. </w:t>
      </w:r>
    </w:p>
    <w:p w:rsidR="00BC18AC" w:rsidRPr="00BC18AC" w:rsidRDefault="00BC18AC" w:rsidP="00BC18AC">
      <w:pPr>
        <w:pStyle w:val="Ingetavstnd"/>
      </w:pPr>
    </w:p>
    <w:p w:rsidR="00BC18AC" w:rsidRDefault="00BC18AC" w:rsidP="00D02960">
      <w:pPr>
        <w:pStyle w:val="Rubrik2"/>
        <w:rPr>
          <w:rFonts w:ascii="Arial" w:hAnsi="Arial" w:cs="Arial"/>
          <w:b/>
          <w:szCs w:val="32"/>
        </w:rPr>
      </w:pPr>
      <w:bookmarkStart w:id="2" w:name="_Toc481738282"/>
      <w:r w:rsidRPr="007E0B95">
        <w:rPr>
          <w:noProof/>
          <w:lang w:eastAsia="sv-SE"/>
        </w:rPr>
        <w:drawing>
          <wp:inline distT="0" distB="0" distL="0" distR="0" wp14:anchorId="75D25A8E" wp14:editId="21E8F033">
            <wp:extent cx="5760720" cy="383349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run\AppData\Local\Microsoft\Windows\INetCache\Content.Word\ungabostad_786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3833495"/>
                    </a:xfrm>
                    <a:prstGeom prst="rect">
                      <a:avLst/>
                    </a:prstGeom>
                    <a:noFill/>
                    <a:ln>
                      <a:noFill/>
                    </a:ln>
                  </pic:spPr>
                </pic:pic>
              </a:graphicData>
            </a:graphic>
          </wp:inline>
        </w:drawing>
      </w:r>
    </w:p>
    <w:p w:rsidR="00BB1035" w:rsidRPr="00BC18AC" w:rsidRDefault="00D51032" w:rsidP="00D02960">
      <w:pPr>
        <w:pStyle w:val="Rubrik2"/>
        <w:rPr>
          <w:rFonts w:ascii="Arial" w:hAnsi="Arial" w:cs="Arial"/>
          <w:b/>
          <w:szCs w:val="32"/>
        </w:rPr>
      </w:pPr>
      <w:r w:rsidRPr="00BC18AC">
        <w:rPr>
          <w:rFonts w:ascii="Arial" w:hAnsi="Arial" w:cs="Arial"/>
          <w:b/>
          <w:szCs w:val="32"/>
        </w:rPr>
        <w:t>Om r</w:t>
      </w:r>
      <w:r w:rsidR="00BB1035" w:rsidRPr="00BC18AC">
        <w:rPr>
          <w:rFonts w:ascii="Arial" w:hAnsi="Arial" w:cs="Arial"/>
          <w:b/>
          <w:szCs w:val="32"/>
        </w:rPr>
        <w:t>apporten</w:t>
      </w:r>
      <w:bookmarkEnd w:id="2"/>
    </w:p>
    <w:p w:rsidR="009D05B3" w:rsidRPr="007E0B95" w:rsidRDefault="009D05B3" w:rsidP="009D05B3">
      <w:r w:rsidRPr="007E0B95">
        <w:t>Sedan 1997 har Hyresgästföreningen vartannat år genomfört en under</w:t>
      </w:r>
      <w:r w:rsidR="00D35053">
        <w:t>sökning om unga vuxnas boende. Vi</w:t>
      </w:r>
      <w:r w:rsidRPr="007E0B95">
        <w:t xml:space="preserve"> frågar människor i åldrarna 20-27 år om bland annat bostadsbrist, boendeformer, hemmaboende, boendekostnader och inkomster. </w:t>
      </w:r>
    </w:p>
    <w:p w:rsidR="00A94D55" w:rsidRPr="007E0B95" w:rsidRDefault="00A94D55" w:rsidP="00A94D55">
      <w:r w:rsidRPr="007E0B95">
        <w:t>I 2017 års upplaga av rapporten rör en viktig del av vår analys materiell och ekonomisk utsatthet och hur dessa variabler påverkar unga vuxnas möjligheter på bostadsmarknaden och i livet i stort. Vad som ska betraktas som utsatthet, och hur det ska mätas, är emellertid föremål för en pågående debatt. Poäng</w:t>
      </w:r>
      <w:r w:rsidR="00D35053">
        <w:t>en med detta är att visa att ungas</w:t>
      </w:r>
      <w:r w:rsidRPr="007E0B95">
        <w:t xml:space="preserve"> ställning på bostadsmarknaden hänger ihop med livet i övrigt. Hur vi bor och vilka möjligheter vi har på bostadsmarknaden påverkar vilka möjligheter vi har till att bilda familj eller ta ett jobb eller utbildning där vi vill. </w:t>
      </w:r>
    </w:p>
    <w:p w:rsidR="00A94D55" w:rsidRPr="007E0B95" w:rsidRDefault="00A94D55" w:rsidP="00A94D55">
      <w:r w:rsidRPr="007E0B95">
        <w:lastRenderedPageBreak/>
        <w:t>Vi utgår i den här rapporten från två huvudkategorier av utsatthetsindikatorer, eller så kallade fattigdomsbegrepp. För det första använder vi absoluta fattigdomsbegrepp för inkomster efter boendekostnader. De här begreppen är absoluta i så måtto att de inte är relativa till inkomstfördelningen i stort, varför fler inte blir fattiga av att fler blir rika.</w:t>
      </w:r>
    </w:p>
    <w:p w:rsidR="00D51032" w:rsidRPr="007E0B95" w:rsidRDefault="00D51032" w:rsidP="00D02960">
      <w:r w:rsidRPr="007E0B95">
        <w:t xml:space="preserve">För det andra mäter vi olika indikationer för materiell och ekonomisk deprivation (deprivering ≈ fråntagande), det vill säga mått på problem i form av osäker inkomst, svagt ekonomiskt skyddsnät eller osäkra boendeförhållanden. Det är problem som fråntar den drabbade tillgången till tryggt boende, rimliga livschanser eller normal konsumtion. </w:t>
      </w:r>
    </w:p>
    <w:p w:rsidR="00D51032" w:rsidRPr="007E0B95" w:rsidRDefault="00D51032" w:rsidP="00D02960">
      <w:r w:rsidRPr="007E0B95">
        <w:t xml:space="preserve">Vi redovisar resultaten uppdelat i två huvudgrupper; unga vuxna som 1) är hemmaboende och 2) har eget boende. Anledningen till att vi skiljer dessa grupper åt är att hemmaboendes och utflyttades ekonomi och livssituation skiljer sig åt, inte bara i termer av nivåer på intäkter och utgifter, utan också i termer av hur den personliga ekonomin och boendet fungerar. När man är hemmaboende har man till exempel – på gott och ont – inte fullt ut en vuxens ekonomi. Det är därför svårt att rakt av jämföra variabler mellan de båda grupperna. </w:t>
      </w:r>
    </w:p>
    <w:p w:rsidR="00D51032" w:rsidRPr="007E0B95" w:rsidRDefault="00D51032" w:rsidP="00D02960">
      <w:r w:rsidRPr="007E0B95">
        <w:t xml:space="preserve">Många av de indikatorer vi använder är främst utformade för att fånga utsatthet bland dem som har en självständig personlig ekonomi. Det betyder ändå inte att man som hemmaboende inte kan vara ekonomiskt och materiellt utsatt, särskilt när det gäller saker som möjligheten att bilda en egen familj, skaffa ett jobb eller leva det liv en själv vill. </w:t>
      </w:r>
    </w:p>
    <w:p w:rsidR="009D05B3" w:rsidRPr="007E0B95" w:rsidRDefault="00D51032" w:rsidP="009D05B3">
      <w:r w:rsidRPr="007E0B95">
        <w:t>Den kanske enskilt viktigaste indikatorn vi mäter i denna undersökning är också grunden till uppdelningen av unga vuxna i två grupper, nämligen det (ofrivilliga) hemmaboendet.</w:t>
      </w:r>
    </w:p>
    <w:p w:rsidR="00D51032" w:rsidRPr="007E0B95" w:rsidRDefault="009D05B3" w:rsidP="00D02960">
      <w:r w:rsidRPr="007E0B95">
        <w:t>Efter ett par kortfattade kommentarer kring undersökningsmetoden, inleder vi rapporten med en sammanställning av uppgifter från Sveriges kommuner kring bostadssituationen och bostadsbristen för unga vuxna. Därefter koncentrerar vi oss på statistik för i tur och ordning hemmaboende och dem med eget boende. Efter det analyserar vi hur olika indikatorer på deprivering, nedan kallade utsatthetsindikatorer, hänger ihop med möjligheterna, viljan och ambitionen att påverka sin livs- och boendesituation. Slutligen sammanfattar vi de bostadspolitiska slutsatser man kan dra av rapportens resultat.</w:t>
      </w:r>
    </w:p>
    <w:p w:rsidR="005532F9" w:rsidRPr="007E0B95" w:rsidRDefault="005532F9" w:rsidP="00D02960">
      <w:pPr>
        <w:pStyle w:val="Ingetavstnd"/>
      </w:pPr>
    </w:p>
    <w:p w:rsidR="008A0394" w:rsidRPr="00BC18AC" w:rsidRDefault="004908FA" w:rsidP="00D02960">
      <w:pPr>
        <w:pStyle w:val="Rubrik3"/>
        <w:rPr>
          <w:rFonts w:ascii="Arial" w:hAnsi="Arial" w:cs="Arial"/>
          <w:b/>
          <w:color w:val="C00000"/>
          <w:sz w:val="32"/>
          <w:szCs w:val="32"/>
        </w:rPr>
      </w:pPr>
      <w:bookmarkStart w:id="3" w:name="_Toc481738283"/>
      <w:r w:rsidRPr="00BC18AC">
        <w:rPr>
          <w:rFonts w:ascii="Arial" w:hAnsi="Arial" w:cs="Arial"/>
          <w:b/>
          <w:color w:val="C00000"/>
          <w:sz w:val="32"/>
          <w:szCs w:val="32"/>
        </w:rPr>
        <w:t>U</w:t>
      </w:r>
      <w:r w:rsidR="008A0394" w:rsidRPr="00BC18AC">
        <w:rPr>
          <w:rFonts w:ascii="Arial" w:hAnsi="Arial" w:cs="Arial"/>
          <w:b/>
          <w:color w:val="C00000"/>
          <w:sz w:val="32"/>
          <w:szCs w:val="32"/>
        </w:rPr>
        <w:t>ndersökningsmetoden</w:t>
      </w:r>
      <w:bookmarkEnd w:id="3"/>
    </w:p>
    <w:p w:rsidR="00DA064A" w:rsidRPr="007E0B95" w:rsidRDefault="009552FD" w:rsidP="00D02960">
      <w:r w:rsidRPr="007E0B95">
        <w:t>Rapporten bygger i huvudsak på data från en enkätundersökning.</w:t>
      </w:r>
      <w:r w:rsidR="008A0394" w:rsidRPr="007E0B95">
        <w:t xml:space="preserve"> </w:t>
      </w:r>
      <w:r w:rsidRPr="007E0B95">
        <w:t>Den</w:t>
      </w:r>
      <w:r w:rsidR="008A0394" w:rsidRPr="007E0B95">
        <w:t xml:space="preserve"> undersökta gruppen </w:t>
      </w:r>
      <w:r w:rsidR="004705FB" w:rsidRPr="007E0B95">
        <w:t xml:space="preserve">består </w:t>
      </w:r>
      <w:r w:rsidR="008A0394" w:rsidRPr="007E0B95">
        <w:t>av 4 211 unga vuxna mellan 20 och 27 år som svarat på frågor om hur de bor,</w:t>
      </w:r>
      <w:r w:rsidR="00FC2FDB" w:rsidRPr="007E0B95">
        <w:t xml:space="preserve"> deras boendeekonomi,</w:t>
      </w:r>
      <w:r w:rsidR="008A0394" w:rsidRPr="007E0B95">
        <w:t xml:space="preserve"> hur de vill bo och hur de ser på sina möjligheter på bostadsmarknaden. Enkätsvaren har samlats in av SKOP under mars-april 2017. Urvalet är uppdelat efter ålder, kön samt i fyra geografiska huvudområden: det tre storstadsregionerna samt övriga riket. </w:t>
      </w:r>
      <w:r w:rsidR="00DA064A" w:rsidRPr="007E0B95">
        <w:t xml:space="preserve">Från </w:t>
      </w:r>
      <w:r w:rsidR="00E50DFD" w:rsidRPr="007E0B95">
        <w:t>Göteborgsregionen</w:t>
      </w:r>
      <w:r w:rsidR="00DA064A" w:rsidRPr="007E0B95">
        <w:t xml:space="preserve"> kommer </w:t>
      </w:r>
      <w:r w:rsidR="00BC4C4A" w:rsidRPr="007E0B95">
        <w:t>5</w:t>
      </w:r>
      <w:r w:rsidR="00E50DFD" w:rsidRPr="007E0B95">
        <w:t>33</w:t>
      </w:r>
      <w:r w:rsidR="00DA064A" w:rsidRPr="007E0B95">
        <w:t xml:space="preserve"> respondenter från </w:t>
      </w:r>
      <w:r w:rsidR="00E50DFD" w:rsidRPr="007E0B95">
        <w:t xml:space="preserve">Göteborg stad </w:t>
      </w:r>
      <w:r w:rsidR="00DA064A" w:rsidRPr="007E0B95">
        <w:t xml:space="preserve">och </w:t>
      </w:r>
      <w:r w:rsidR="00E50DFD" w:rsidRPr="007E0B95">
        <w:t>502</w:t>
      </w:r>
      <w:r w:rsidR="00BC4C4A" w:rsidRPr="007E0B95">
        <w:rPr>
          <w:color w:val="FF0000"/>
        </w:rPr>
        <w:t xml:space="preserve"> </w:t>
      </w:r>
      <w:r w:rsidR="00DA064A" w:rsidRPr="007E0B95">
        <w:t xml:space="preserve">respondenter från </w:t>
      </w:r>
      <w:r w:rsidR="00E50DFD" w:rsidRPr="007E0B95">
        <w:t>Göteborgs kranskommuner (Ale, Härryda, Kungsbacka, Kungälv, Lerum, Mölndal, Partille, Stenungsund, Alingsås, Lilla Edet, Tjörn och Öckerö)</w:t>
      </w:r>
      <w:r w:rsidR="00DA064A" w:rsidRPr="007E0B95">
        <w:t>. Vi kommer hänvisa till detta område som ”</w:t>
      </w:r>
      <w:r w:rsidR="00E50DFD" w:rsidRPr="007E0B95">
        <w:t>Storgöteborg</w:t>
      </w:r>
      <w:r w:rsidR="00DA064A" w:rsidRPr="007E0B95">
        <w:t xml:space="preserve">” i de fall vi inte särredovisar statistik för </w:t>
      </w:r>
      <w:r w:rsidR="00E50DFD" w:rsidRPr="007E0B95">
        <w:t>Göteborg stad och kranskommunerna</w:t>
      </w:r>
      <w:r w:rsidR="00DA064A" w:rsidRPr="007E0B95">
        <w:t xml:space="preserve">. </w:t>
      </w:r>
      <w:r w:rsidR="00F3724E" w:rsidRPr="007E0B95">
        <w:t>Vid framräkningar av antalet personer som motsvarar en viss befolkningsandel har vi baserat detta på SCBs befolkningsstatistik från november 2016.</w:t>
      </w:r>
    </w:p>
    <w:p w:rsidR="008A0394" w:rsidRPr="007E0B95" w:rsidRDefault="008A0394">
      <w:r w:rsidRPr="007E0B95">
        <w:t xml:space="preserve">Alla redovisade resultat har </w:t>
      </w:r>
      <w:r w:rsidR="0000619A" w:rsidRPr="007E0B95">
        <w:t xml:space="preserve">bearbetats, </w:t>
      </w:r>
      <w:r w:rsidRPr="007E0B95">
        <w:t>poststratifierats med avseende på urvalsgrupperna med en viktningsvariabel</w:t>
      </w:r>
      <w:r w:rsidR="0000619A" w:rsidRPr="007E0B95">
        <w:t>,</w:t>
      </w:r>
      <w:r w:rsidRPr="007E0B95">
        <w:t xml:space="preserve"> för att korrigera för selektiva bortfall. </w:t>
      </w:r>
    </w:p>
    <w:p w:rsidR="00BB1035" w:rsidRPr="007E0B95" w:rsidRDefault="008A0394">
      <w:pPr>
        <w:rPr>
          <w:rFonts w:asciiTheme="majorHAnsi" w:eastAsiaTheme="majorEastAsia" w:hAnsiTheme="majorHAnsi" w:cstheme="majorBidi"/>
          <w:color w:val="C00000"/>
          <w:sz w:val="40"/>
          <w:szCs w:val="32"/>
        </w:rPr>
      </w:pPr>
      <w:r w:rsidRPr="007E0B95">
        <w:t xml:space="preserve">Enkätundersökningen har kompletterats med öppen statistik från Statistiska centralbyrån (SCB) och Boverket. Ytterligare enstaka siffror/uppgifter kommer från andra organisationer/myndigheter, vilka de är anges när de används. Alla statistiska modeller, beräkningar, </w:t>
      </w:r>
      <w:r w:rsidR="00BC4C4A" w:rsidRPr="007E0B95">
        <w:t xml:space="preserve">tabeller, </w:t>
      </w:r>
      <w:r w:rsidRPr="007E0B95">
        <w:t>diagram och kartor har tagits fram av Hyresgästföreningen.</w:t>
      </w:r>
      <w:r w:rsidR="0000619A" w:rsidRPr="007E0B95">
        <w:t xml:space="preserve"> </w:t>
      </w:r>
      <w:r w:rsidR="00BB1035" w:rsidRPr="007E0B95">
        <w:br w:type="page"/>
      </w:r>
    </w:p>
    <w:p w:rsidR="00A5575C" w:rsidRPr="00BC18AC" w:rsidRDefault="008D082D">
      <w:pPr>
        <w:pStyle w:val="Rubrik1"/>
        <w:rPr>
          <w:rFonts w:ascii="Arial" w:hAnsi="Arial" w:cs="Arial"/>
          <w:b/>
          <w:sz w:val="32"/>
        </w:rPr>
      </w:pPr>
      <w:bookmarkStart w:id="4" w:name="_Toc481738284"/>
      <w:r w:rsidRPr="00BC18AC">
        <w:rPr>
          <w:rFonts w:ascii="Arial" w:hAnsi="Arial" w:cs="Arial"/>
          <w:b/>
          <w:sz w:val="32"/>
        </w:rPr>
        <w:lastRenderedPageBreak/>
        <w:t xml:space="preserve">Bostadssituationen </w:t>
      </w:r>
      <w:r w:rsidR="00A5575C" w:rsidRPr="00BC18AC">
        <w:rPr>
          <w:rFonts w:ascii="Arial" w:hAnsi="Arial" w:cs="Arial"/>
          <w:b/>
          <w:sz w:val="32"/>
        </w:rPr>
        <w:t xml:space="preserve">för unga vuxna i </w:t>
      </w:r>
      <w:r w:rsidRPr="00BC18AC">
        <w:rPr>
          <w:rFonts w:ascii="Arial" w:hAnsi="Arial" w:cs="Arial"/>
          <w:b/>
          <w:sz w:val="32"/>
        </w:rPr>
        <w:t>Storgöteborg</w:t>
      </w:r>
      <w:bookmarkEnd w:id="4"/>
    </w:p>
    <w:p w:rsidR="0055575B" w:rsidRPr="007E0B95" w:rsidRDefault="0055575B">
      <w:r w:rsidRPr="007E0B95">
        <w:t xml:space="preserve">Det </w:t>
      </w:r>
      <w:r w:rsidR="00A5575C" w:rsidRPr="007E0B95">
        <w:t xml:space="preserve">råder </w:t>
      </w:r>
      <w:r w:rsidRPr="007E0B95">
        <w:t>idag</w:t>
      </w:r>
      <w:r w:rsidR="00A5575C" w:rsidRPr="007E0B95">
        <w:t xml:space="preserve"> bostadsbrist för unga i </w:t>
      </w:r>
      <w:r w:rsidR="008647DD" w:rsidRPr="007E0B95">
        <w:t>12</w:t>
      </w:r>
      <w:r w:rsidR="00A5575C" w:rsidRPr="007E0B95">
        <w:t xml:space="preserve"> av </w:t>
      </w:r>
      <w:r w:rsidR="008647DD" w:rsidRPr="007E0B95">
        <w:t>Storgöteborgs</w:t>
      </w:r>
      <w:r w:rsidR="00A5575C" w:rsidRPr="007E0B95">
        <w:t xml:space="preserve"> </w:t>
      </w:r>
      <w:r w:rsidR="008647DD" w:rsidRPr="007E0B95">
        <w:t>13</w:t>
      </w:r>
      <w:r w:rsidR="00A5575C" w:rsidRPr="007E0B95">
        <w:t xml:space="preserve"> kommuner</w:t>
      </w:r>
      <w:r w:rsidRPr="007E0B95">
        <w:t xml:space="preserve">. Nivån är oförändrad sedan 2014, se tabell 1, enligt vad kommunerna själva rapporterat till </w:t>
      </w:r>
      <w:r w:rsidR="00A5575C" w:rsidRPr="007E0B95">
        <w:t>Boverket</w:t>
      </w:r>
      <w:r w:rsidRPr="007E0B95">
        <w:t>s bostadsmarknadsenkät</w:t>
      </w:r>
      <w:r w:rsidR="00A5575C" w:rsidRPr="007E0B95">
        <w:t xml:space="preserve"> 2016.</w:t>
      </w:r>
      <w:r w:rsidRPr="007E0B95">
        <w:t xml:space="preserve"> Endast en kommun i Storgöteborg (Lilla Edet) rapporterar </w:t>
      </w:r>
      <w:r w:rsidR="00337C57" w:rsidRPr="007E0B95">
        <w:t xml:space="preserve">2016 om </w:t>
      </w:r>
      <w:r w:rsidRPr="007E0B95">
        <w:t xml:space="preserve">en bostadssituation i balans för unga. Orsakerna bakom underskottet av bostäder rapporteras vara en generell brist på bostäder (11 kommuner) och mer specifikt en brist på små bostäder (7 kommuner). Matchningsproblematik relaterat till typen av tillgängliga bostäder och bostädernas läge är mindre vanligt enligt </w:t>
      </w:r>
      <w:r w:rsidR="00337C57" w:rsidRPr="007E0B95">
        <w:t>vad kommunerna själva uppger</w:t>
      </w:r>
      <w:r w:rsidRPr="007E0B95">
        <w:t>.</w:t>
      </w:r>
    </w:p>
    <w:p w:rsidR="00E96331" w:rsidRPr="007E0B95" w:rsidRDefault="00E96331" w:rsidP="00D02960">
      <w:pPr>
        <w:pStyle w:val="Grundtextindrag"/>
        <w:rPr>
          <w:lang w:eastAsia="sv-SE"/>
        </w:rPr>
      </w:pPr>
    </w:p>
    <w:p w:rsidR="008647DD" w:rsidRPr="007E0B95" w:rsidRDefault="003C6930" w:rsidP="00D02960">
      <w:pPr>
        <w:pStyle w:val="Beskrivning"/>
        <w:spacing w:after="0"/>
        <w:rPr>
          <w:lang w:val="sv-SE"/>
        </w:rPr>
      </w:pPr>
      <w:r w:rsidRPr="007E0B95">
        <w:rPr>
          <w:lang w:val="sv-SE"/>
        </w:rPr>
        <w:t xml:space="preserve">Tabell </w:t>
      </w:r>
      <w:r w:rsidR="000B157D" w:rsidRPr="007E0B95">
        <w:rPr>
          <w:lang w:val="sv-SE"/>
        </w:rPr>
        <w:fldChar w:fldCharType="begin"/>
      </w:r>
      <w:r w:rsidR="000B157D" w:rsidRPr="007E0B95">
        <w:rPr>
          <w:lang w:val="sv-SE"/>
        </w:rPr>
        <w:instrText xml:space="preserve"> SEQ Tabell \* ARABIC </w:instrText>
      </w:r>
      <w:r w:rsidR="000B157D" w:rsidRPr="007E0B95">
        <w:rPr>
          <w:lang w:val="sv-SE"/>
        </w:rPr>
        <w:fldChar w:fldCharType="separate"/>
      </w:r>
      <w:r w:rsidR="006450EC">
        <w:rPr>
          <w:noProof/>
          <w:lang w:val="sv-SE"/>
        </w:rPr>
        <w:t>1</w:t>
      </w:r>
      <w:r w:rsidR="000B157D" w:rsidRPr="007E0B95">
        <w:rPr>
          <w:lang w:val="sv-SE"/>
        </w:rPr>
        <w:fldChar w:fldCharType="end"/>
      </w:r>
      <w:r w:rsidRPr="007E0B95">
        <w:rPr>
          <w:lang w:val="sv-SE"/>
        </w:rPr>
        <w:t>, bostadsbrist</w:t>
      </w:r>
      <w:r w:rsidR="003B35F4" w:rsidRPr="007E0B95">
        <w:rPr>
          <w:lang w:val="sv-SE"/>
        </w:rPr>
        <w:t xml:space="preserve"> för unga vuxna</w:t>
      </w:r>
      <w:r w:rsidRPr="007E0B95">
        <w:rPr>
          <w:lang w:val="sv-SE"/>
        </w:rPr>
        <w:t xml:space="preserve"> rapporterad av kommunerna</w:t>
      </w:r>
      <w:r w:rsidR="00147424" w:rsidRPr="007E0B95">
        <w:rPr>
          <w:lang w:val="sv-SE"/>
        </w:rPr>
        <w:t xml:space="preserve"> i </w:t>
      </w:r>
      <w:r w:rsidR="008647DD" w:rsidRPr="007E0B95">
        <w:rPr>
          <w:lang w:val="sv-SE"/>
        </w:rPr>
        <w:t>STorgöteborg.</w:t>
      </w:r>
    </w:p>
    <w:p w:rsidR="003C6930" w:rsidRPr="007E0B95" w:rsidRDefault="00162FE6">
      <w:pPr>
        <w:pStyle w:val="Beskrivning"/>
        <w:rPr>
          <w:lang w:val="sv-SE"/>
        </w:rPr>
      </w:pPr>
      <w:r>
        <w:rPr>
          <w:noProof/>
          <w:lang w:val="sv-SE" w:eastAsia="sv-SE"/>
        </w:rPr>
        <mc:AlternateContent>
          <mc:Choice Requires="wps">
            <w:drawing>
              <wp:anchor distT="0" distB="0" distL="114300" distR="114300" simplePos="0" relativeHeight="251691008" behindDoc="0" locked="0" layoutInCell="1" allowOverlap="1">
                <wp:simplePos x="0" y="0"/>
                <wp:positionH relativeFrom="column">
                  <wp:posOffset>-4445</wp:posOffset>
                </wp:positionH>
                <wp:positionV relativeFrom="paragraph">
                  <wp:posOffset>149225</wp:posOffset>
                </wp:positionV>
                <wp:extent cx="5295900" cy="1905000"/>
                <wp:effectExtent l="0" t="0" r="19050" b="19050"/>
                <wp:wrapNone/>
                <wp:docPr id="16" name="Rektangel 16"/>
                <wp:cNvGraphicFramePr/>
                <a:graphic xmlns:a="http://schemas.openxmlformats.org/drawingml/2006/main">
                  <a:graphicData uri="http://schemas.microsoft.com/office/word/2010/wordprocessingShape">
                    <wps:wsp>
                      <wps:cNvSpPr/>
                      <wps:spPr>
                        <a:xfrm>
                          <a:off x="0" y="0"/>
                          <a:ext cx="5295900" cy="1905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rutnt"/>
                              <w:tblW w:w="82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1464"/>
                              <w:gridCol w:w="1633"/>
                              <w:gridCol w:w="1783"/>
                            </w:tblGrid>
                            <w:tr w:rsidR="00D45501" w:rsidRPr="007E0B95" w:rsidTr="00D45501">
                              <w:trPr>
                                <w:trHeight w:val="461"/>
                              </w:trPr>
                              <w:tc>
                                <w:tcPr>
                                  <w:tcW w:w="0" w:type="auto"/>
                                  <w:tcBorders>
                                    <w:top w:val="single" w:sz="4" w:space="0" w:color="auto"/>
                                    <w:left w:val="single" w:sz="4" w:space="0" w:color="auto"/>
                                    <w:bottom w:val="nil"/>
                                  </w:tcBorders>
                                  <w:noWrap/>
                                </w:tcPr>
                                <w:p w:rsidR="00D45501" w:rsidRPr="00737594" w:rsidRDefault="00D45501" w:rsidP="00D45501">
                                  <w:pPr>
                                    <w:rPr>
                                      <w:rFonts w:ascii="Arial" w:eastAsia="Times New Roman" w:hAnsi="Arial" w:cs="Arial"/>
                                      <w:color w:val="FFFFFF" w:themeColor="background1"/>
                                      <w:lang w:val="sv-SE"/>
                                    </w:rPr>
                                  </w:pPr>
                                </w:p>
                              </w:tc>
                              <w:tc>
                                <w:tcPr>
                                  <w:tcW w:w="4880" w:type="dxa"/>
                                  <w:gridSpan w:val="3"/>
                                  <w:tcBorders>
                                    <w:top w:val="single" w:sz="4" w:space="0" w:color="auto"/>
                                    <w:bottom w:val="nil"/>
                                    <w:right w:val="single" w:sz="4" w:space="0" w:color="auto"/>
                                  </w:tcBorders>
                                  <w:noWrap/>
                                  <w:vAlign w:val="center"/>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C00000"/>
                                      <w:lang w:val="sv-SE"/>
                                    </w:rPr>
                                    <w:t>Antal kommuner</w:t>
                                  </w:r>
                                </w:p>
                              </w:tc>
                            </w:tr>
                            <w:tr w:rsidR="00D45501" w:rsidRPr="007E0B95" w:rsidTr="00D45501">
                              <w:trPr>
                                <w:trHeight w:val="461"/>
                              </w:trPr>
                              <w:tc>
                                <w:tcPr>
                                  <w:tcW w:w="0" w:type="auto"/>
                                  <w:tcBorders>
                                    <w:top w:val="nil"/>
                                    <w:left w:val="single" w:sz="4" w:space="0" w:color="auto"/>
                                    <w:bottom w:val="single" w:sz="4" w:space="0" w:color="auto"/>
                                  </w:tcBorders>
                                  <w:noWrap/>
                                  <w:hideMark/>
                                </w:tcPr>
                                <w:p w:rsidR="00D45501" w:rsidRPr="00737594" w:rsidRDefault="00737594" w:rsidP="00737594">
                                  <w:pPr>
                                    <w:jc w:val="right"/>
                                    <w:rPr>
                                      <w:rFonts w:ascii="Arial" w:eastAsia="Times New Roman" w:hAnsi="Arial" w:cs="Arial"/>
                                      <w:color w:val="C00000"/>
                                      <w:lang w:val="sv-SE"/>
                                    </w:rPr>
                                  </w:pPr>
                                  <w:r>
                                    <w:rPr>
                                      <w:rFonts w:ascii="Arial" w:eastAsia="Times New Roman" w:hAnsi="Arial" w:cs="Arial"/>
                                      <w:color w:val="C00000"/>
                                      <w:lang w:val="sv-SE"/>
                                    </w:rPr>
                                    <w:t>År</w:t>
                                  </w:r>
                                </w:p>
                              </w:tc>
                              <w:tc>
                                <w:tcPr>
                                  <w:tcW w:w="1464" w:type="dxa"/>
                                  <w:tcBorders>
                                    <w:top w:val="nil"/>
                                    <w:bottom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2014</w:t>
                                  </w:r>
                                </w:p>
                              </w:tc>
                              <w:tc>
                                <w:tcPr>
                                  <w:tcW w:w="1633" w:type="dxa"/>
                                  <w:tcBorders>
                                    <w:top w:val="nil"/>
                                    <w:bottom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2015</w:t>
                                  </w:r>
                                </w:p>
                              </w:tc>
                              <w:tc>
                                <w:tcPr>
                                  <w:tcW w:w="1782" w:type="dxa"/>
                                  <w:tcBorders>
                                    <w:top w:val="nil"/>
                                    <w:bottom w:val="single" w:sz="4" w:space="0" w:color="auto"/>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2016</w:t>
                                  </w:r>
                                </w:p>
                              </w:tc>
                            </w:tr>
                            <w:tr w:rsidR="00D45501" w:rsidRPr="007E0B95" w:rsidTr="00D45501">
                              <w:trPr>
                                <w:trHeight w:val="461"/>
                              </w:trPr>
                              <w:tc>
                                <w:tcPr>
                                  <w:tcW w:w="0" w:type="auto"/>
                                  <w:tcBorders>
                                    <w:top w:val="single" w:sz="4" w:space="0" w:color="auto"/>
                                    <w:left w:val="single" w:sz="4" w:space="0" w:color="auto"/>
                                  </w:tcBorders>
                                  <w:noWrap/>
                                  <w:vAlign w:val="center"/>
                                  <w:hideMark/>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Överskott av bostäder</w:t>
                                  </w:r>
                                </w:p>
                              </w:tc>
                              <w:tc>
                                <w:tcPr>
                                  <w:tcW w:w="1464" w:type="dxa"/>
                                  <w:tcBorders>
                                    <w:top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c>
                                <w:tcPr>
                                  <w:tcW w:w="1633" w:type="dxa"/>
                                  <w:tcBorders>
                                    <w:top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c>
                                <w:tcPr>
                                  <w:tcW w:w="1782" w:type="dxa"/>
                                  <w:tcBorders>
                                    <w:top w:val="single" w:sz="4" w:space="0" w:color="auto"/>
                                    <w:bottom w:val="nil"/>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r>
                            <w:tr w:rsidR="00D45501" w:rsidRPr="007E0B95" w:rsidTr="00D45501">
                              <w:trPr>
                                <w:trHeight w:val="461"/>
                              </w:trPr>
                              <w:tc>
                                <w:tcPr>
                                  <w:tcW w:w="3380" w:type="dxa"/>
                                  <w:tcBorders>
                                    <w:left w:val="single" w:sz="4" w:space="0" w:color="auto"/>
                                    <w:bottom w:val="nil"/>
                                  </w:tcBorders>
                                  <w:noWrap/>
                                  <w:vAlign w:val="center"/>
                                  <w:hideMark/>
                                </w:tcPr>
                                <w:p w:rsidR="00D45501" w:rsidRPr="00737594" w:rsidRDefault="00D45501" w:rsidP="00D45501">
                                  <w:pPr>
                                    <w:jc w:val="lef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Balans på bostadsmarknaden</w:t>
                                  </w:r>
                                </w:p>
                              </w:tc>
                              <w:tc>
                                <w:tcPr>
                                  <w:tcW w:w="1464"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w:t>
                                  </w:r>
                                </w:p>
                              </w:tc>
                              <w:tc>
                                <w:tcPr>
                                  <w:tcW w:w="1633"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w:t>
                                  </w:r>
                                </w:p>
                              </w:tc>
                              <w:tc>
                                <w:tcPr>
                                  <w:tcW w:w="1782" w:type="dxa"/>
                                  <w:tcBorders>
                                    <w:top w:val="nil"/>
                                    <w:bottom w:val="nil"/>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w:t>
                                  </w:r>
                                </w:p>
                              </w:tc>
                            </w:tr>
                            <w:tr w:rsidR="00D45501" w:rsidRPr="007E0B95" w:rsidTr="00D45501">
                              <w:trPr>
                                <w:trHeight w:val="461"/>
                              </w:trPr>
                              <w:tc>
                                <w:tcPr>
                                  <w:tcW w:w="0" w:type="auto"/>
                                  <w:tcBorders>
                                    <w:top w:val="nil"/>
                                    <w:left w:val="single" w:sz="4" w:space="0" w:color="auto"/>
                                    <w:bottom w:val="nil"/>
                                  </w:tcBorders>
                                  <w:noWrap/>
                                  <w:vAlign w:val="center"/>
                                  <w:hideMark/>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Underskott av bostäder</w:t>
                                  </w:r>
                                </w:p>
                              </w:tc>
                              <w:tc>
                                <w:tcPr>
                                  <w:tcW w:w="1464"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12</w:t>
                                  </w:r>
                                </w:p>
                              </w:tc>
                              <w:tc>
                                <w:tcPr>
                                  <w:tcW w:w="1633"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10</w:t>
                                  </w:r>
                                </w:p>
                              </w:tc>
                              <w:tc>
                                <w:tcPr>
                                  <w:tcW w:w="1782" w:type="dxa"/>
                                  <w:tcBorders>
                                    <w:top w:val="nil"/>
                                    <w:bottom w:val="nil"/>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12</w:t>
                                  </w:r>
                                </w:p>
                              </w:tc>
                            </w:tr>
                            <w:tr w:rsidR="00D45501" w:rsidRPr="007E0B95" w:rsidTr="004A191C">
                              <w:trPr>
                                <w:trHeight w:val="511"/>
                              </w:trPr>
                              <w:tc>
                                <w:tcPr>
                                  <w:tcW w:w="0" w:type="auto"/>
                                  <w:tcBorders>
                                    <w:top w:val="nil"/>
                                    <w:left w:val="single" w:sz="4" w:space="0" w:color="auto"/>
                                    <w:bottom w:val="single" w:sz="4" w:space="0" w:color="auto"/>
                                  </w:tcBorders>
                                  <w:noWrap/>
                                  <w:vAlign w:val="center"/>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Ingen uppgift</w:t>
                                  </w:r>
                                </w:p>
                              </w:tc>
                              <w:tc>
                                <w:tcPr>
                                  <w:tcW w:w="1464" w:type="dxa"/>
                                  <w:noWrap/>
                                  <w:vAlign w:val="center"/>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c>
                                <w:tcPr>
                                  <w:tcW w:w="1633" w:type="dxa"/>
                                  <w:noWrap/>
                                  <w:vAlign w:val="center"/>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w:t>
                                  </w:r>
                                </w:p>
                              </w:tc>
                              <w:tc>
                                <w:tcPr>
                                  <w:tcW w:w="1782" w:type="dxa"/>
                                  <w:tcBorders>
                                    <w:top w:val="nil"/>
                                    <w:bottom w:val="single" w:sz="4" w:space="0" w:color="auto"/>
                                    <w:right w:val="single" w:sz="4" w:space="0" w:color="auto"/>
                                  </w:tcBorders>
                                  <w:noWrap/>
                                  <w:vAlign w:val="center"/>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r>
                          </w:tbl>
                          <w:p w:rsidR="00E53B51" w:rsidRDefault="00E53B51" w:rsidP="00E53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6" o:spid="_x0000_s1029" style="position:absolute;left:0;text-align:left;margin-left:-.35pt;margin-top:11.75pt;width:417pt;height:1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" fillcolor="#a5a5a5 [2092]" strokecolor="#a5a5a5 [2092]" strokeweight="1pt">
                <v:textbox>
                  <w:txbxContent>
                    <w:tbl>
                      <w:tblPr>
                        <w:tblStyle w:val="Tabellrutnt"/>
                        <w:tblW w:w="82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1464"/>
                        <w:gridCol w:w="1633"/>
                        <w:gridCol w:w="1783"/>
                      </w:tblGrid>
                      <w:tr w:rsidR="00D45501" w:rsidRPr="007E0B95" w:rsidTr="00D45501">
                        <w:trPr>
                          <w:trHeight w:val="461"/>
                        </w:trPr>
                        <w:tc>
                          <w:tcPr>
                            <w:tcW w:w="0" w:type="auto"/>
                            <w:tcBorders>
                              <w:top w:val="single" w:sz="4" w:space="0" w:color="auto"/>
                              <w:left w:val="single" w:sz="4" w:space="0" w:color="auto"/>
                              <w:bottom w:val="nil"/>
                            </w:tcBorders>
                            <w:noWrap/>
                          </w:tcPr>
                          <w:p w:rsidR="00D45501" w:rsidRPr="00737594" w:rsidRDefault="00D45501" w:rsidP="00D45501">
                            <w:pPr>
                              <w:rPr>
                                <w:rFonts w:ascii="Arial" w:eastAsia="Times New Roman" w:hAnsi="Arial" w:cs="Arial"/>
                                <w:color w:val="FFFFFF" w:themeColor="background1"/>
                                <w:lang w:val="sv-SE"/>
                              </w:rPr>
                            </w:pPr>
                          </w:p>
                        </w:tc>
                        <w:tc>
                          <w:tcPr>
                            <w:tcW w:w="4880" w:type="dxa"/>
                            <w:gridSpan w:val="3"/>
                            <w:tcBorders>
                              <w:top w:val="single" w:sz="4" w:space="0" w:color="auto"/>
                              <w:bottom w:val="nil"/>
                              <w:right w:val="single" w:sz="4" w:space="0" w:color="auto"/>
                            </w:tcBorders>
                            <w:noWrap/>
                            <w:vAlign w:val="center"/>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C00000"/>
                                <w:lang w:val="sv-SE"/>
                              </w:rPr>
                              <w:t>Antal kommuner</w:t>
                            </w:r>
                          </w:p>
                        </w:tc>
                      </w:tr>
                      <w:tr w:rsidR="00D45501" w:rsidRPr="007E0B95" w:rsidTr="00D45501">
                        <w:trPr>
                          <w:trHeight w:val="461"/>
                        </w:trPr>
                        <w:tc>
                          <w:tcPr>
                            <w:tcW w:w="0" w:type="auto"/>
                            <w:tcBorders>
                              <w:top w:val="nil"/>
                              <w:left w:val="single" w:sz="4" w:space="0" w:color="auto"/>
                              <w:bottom w:val="single" w:sz="4" w:space="0" w:color="auto"/>
                            </w:tcBorders>
                            <w:noWrap/>
                            <w:hideMark/>
                          </w:tcPr>
                          <w:p w:rsidR="00D45501" w:rsidRPr="00737594" w:rsidRDefault="00737594" w:rsidP="00737594">
                            <w:pPr>
                              <w:jc w:val="right"/>
                              <w:rPr>
                                <w:rFonts w:ascii="Arial" w:eastAsia="Times New Roman" w:hAnsi="Arial" w:cs="Arial"/>
                                <w:color w:val="C00000"/>
                                <w:lang w:val="sv-SE"/>
                              </w:rPr>
                            </w:pPr>
                            <w:r>
                              <w:rPr>
                                <w:rFonts w:ascii="Arial" w:eastAsia="Times New Roman" w:hAnsi="Arial" w:cs="Arial"/>
                                <w:color w:val="C00000"/>
                                <w:lang w:val="sv-SE"/>
                              </w:rPr>
                              <w:t>År</w:t>
                            </w:r>
                          </w:p>
                        </w:tc>
                        <w:tc>
                          <w:tcPr>
                            <w:tcW w:w="1464" w:type="dxa"/>
                            <w:tcBorders>
                              <w:top w:val="nil"/>
                              <w:bottom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2014</w:t>
                            </w:r>
                          </w:p>
                        </w:tc>
                        <w:tc>
                          <w:tcPr>
                            <w:tcW w:w="1633" w:type="dxa"/>
                            <w:tcBorders>
                              <w:top w:val="nil"/>
                              <w:bottom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2015</w:t>
                            </w:r>
                          </w:p>
                        </w:tc>
                        <w:tc>
                          <w:tcPr>
                            <w:tcW w:w="1782" w:type="dxa"/>
                            <w:tcBorders>
                              <w:top w:val="nil"/>
                              <w:bottom w:val="single" w:sz="4" w:space="0" w:color="auto"/>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2016</w:t>
                            </w:r>
                          </w:p>
                        </w:tc>
                      </w:tr>
                      <w:tr w:rsidR="00D45501" w:rsidRPr="007E0B95" w:rsidTr="00D45501">
                        <w:trPr>
                          <w:trHeight w:val="461"/>
                        </w:trPr>
                        <w:tc>
                          <w:tcPr>
                            <w:tcW w:w="0" w:type="auto"/>
                            <w:tcBorders>
                              <w:top w:val="single" w:sz="4" w:space="0" w:color="auto"/>
                              <w:left w:val="single" w:sz="4" w:space="0" w:color="auto"/>
                            </w:tcBorders>
                            <w:noWrap/>
                            <w:vAlign w:val="center"/>
                            <w:hideMark/>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Överskott av bostäder</w:t>
                            </w:r>
                          </w:p>
                        </w:tc>
                        <w:tc>
                          <w:tcPr>
                            <w:tcW w:w="1464" w:type="dxa"/>
                            <w:tcBorders>
                              <w:top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c>
                          <w:tcPr>
                            <w:tcW w:w="1633" w:type="dxa"/>
                            <w:tcBorders>
                              <w:top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c>
                          <w:tcPr>
                            <w:tcW w:w="1782" w:type="dxa"/>
                            <w:tcBorders>
                              <w:top w:val="single" w:sz="4" w:space="0" w:color="auto"/>
                              <w:bottom w:val="nil"/>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r>
                      <w:tr w:rsidR="00D45501" w:rsidRPr="007E0B95" w:rsidTr="00D45501">
                        <w:trPr>
                          <w:trHeight w:val="461"/>
                        </w:trPr>
                        <w:tc>
                          <w:tcPr>
                            <w:tcW w:w="3380" w:type="dxa"/>
                            <w:tcBorders>
                              <w:left w:val="single" w:sz="4" w:space="0" w:color="auto"/>
                              <w:bottom w:val="nil"/>
                            </w:tcBorders>
                            <w:noWrap/>
                            <w:vAlign w:val="center"/>
                            <w:hideMark/>
                          </w:tcPr>
                          <w:p w:rsidR="00D45501" w:rsidRPr="00737594" w:rsidRDefault="00D45501" w:rsidP="00D45501">
                            <w:pPr>
                              <w:jc w:val="lef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Balans på bostadsmarknaden</w:t>
                            </w:r>
                          </w:p>
                        </w:tc>
                        <w:tc>
                          <w:tcPr>
                            <w:tcW w:w="1464"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w:t>
                            </w:r>
                          </w:p>
                        </w:tc>
                        <w:tc>
                          <w:tcPr>
                            <w:tcW w:w="1633"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w:t>
                            </w:r>
                          </w:p>
                        </w:tc>
                        <w:tc>
                          <w:tcPr>
                            <w:tcW w:w="1782" w:type="dxa"/>
                            <w:tcBorders>
                              <w:top w:val="nil"/>
                              <w:bottom w:val="nil"/>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w:t>
                            </w:r>
                          </w:p>
                        </w:tc>
                      </w:tr>
                      <w:tr w:rsidR="00D45501" w:rsidRPr="007E0B95" w:rsidTr="00D45501">
                        <w:trPr>
                          <w:trHeight w:val="461"/>
                        </w:trPr>
                        <w:tc>
                          <w:tcPr>
                            <w:tcW w:w="0" w:type="auto"/>
                            <w:tcBorders>
                              <w:top w:val="nil"/>
                              <w:left w:val="single" w:sz="4" w:space="0" w:color="auto"/>
                              <w:bottom w:val="nil"/>
                            </w:tcBorders>
                            <w:noWrap/>
                            <w:vAlign w:val="center"/>
                            <w:hideMark/>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Underskott av bostäder</w:t>
                            </w:r>
                          </w:p>
                        </w:tc>
                        <w:tc>
                          <w:tcPr>
                            <w:tcW w:w="1464"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12</w:t>
                            </w:r>
                          </w:p>
                        </w:tc>
                        <w:tc>
                          <w:tcPr>
                            <w:tcW w:w="1633" w:type="dxa"/>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10</w:t>
                            </w:r>
                          </w:p>
                        </w:tc>
                        <w:tc>
                          <w:tcPr>
                            <w:tcW w:w="1782" w:type="dxa"/>
                            <w:tcBorders>
                              <w:top w:val="nil"/>
                              <w:bottom w:val="nil"/>
                              <w:right w:val="single" w:sz="4" w:space="0" w:color="auto"/>
                            </w:tcBorders>
                            <w:noWrap/>
                            <w:vAlign w:val="center"/>
                            <w:hideMark/>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12</w:t>
                            </w:r>
                          </w:p>
                        </w:tc>
                      </w:tr>
                      <w:tr w:rsidR="00D45501" w:rsidRPr="007E0B95" w:rsidTr="004A191C">
                        <w:trPr>
                          <w:trHeight w:val="511"/>
                        </w:trPr>
                        <w:tc>
                          <w:tcPr>
                            <w:tcW w:w="0" w:type="auto"/>
                            <w:tcBorders>
                              <w:top w:val="nil"/>
                              <w:left w:val="single" w:sz="4" w:space="0" w:color="auto"/>
                              <w:bottom w:val="single" w:sz="4" w:space="0" w:color="auto"/>
                            </w:tcBorders>
                            <w:noWrap/>
                            <w:vAlign w:val="center"/>
                          </w:tcPr>
                          <w:p w:rsidR="00D45501" w:rsidRPr="00737594" w:rsidRDefault="00D45501" w:rsidP="00D45501">
                            <w:pPr>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Ingen uppgift</w:t>
                            </w:r>
                          </w:p>
                        </w:tc>
                        <w:tc>
                          <w:tcPr>
                            <w:tcW w:w="1464" w:type="dxa"/>
                            <w:noWrap/>
                            <w:vAlign w:val="center"/>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c>
                          <w:tcPr>
                            <w:tcW w:w="1633" w:type="dxa"/>
                            <w:noWrap/>
                            <w:vAlign w:val="center"/>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2</w:t>
                            </w:r>
                          </w:p>
                        </w:tc>
                        <w:tc>
                          <w:tcPr>
                            <w:tcW w:w="1782" w:type="dxa"/>
                            <w:tcBorders>
                              <w:top w:val="nil"/>
                              <w:bottom w:val="single" w:sz="4" w:space="0" w:color="auto"/>
                              <w:right w:val="single" w:sz="4" w:space="0" w:color="auto"/>
                            </w:tcBorders>
                            <w:noWrap/>
                            <w:vAlign w:val="center"/>
                          </w:tcPr>
                          <w:p w:rsidR="00D45501" w:rsidRPr="00737594" w:rsidRDefault="00D45501" w:rsidP="00D45501">
                            <w:pPr>
                              <w:jc w:val="right"/>
                              <w:rPr>
                                <w:rFonts w:ascii="Arial" w:eastAsia="Times New Roman" w:hAnsi="Arial" w:cs="Arial"/>
                                <w:color w:val="FFFFFF" w:themeColor="background1"/>
                                <w:lang w:val="sv-SE"/>
                              </w:rPr>
                            </w:pPr>
                            <w:r w:rsidRPr="00737594">
                              <w:rPr>
                                <w:rFonts w:ascii="Arial" w:eastAsia="Times New Roman" w:hAnsi="Arial" w:cs="Arial"/>
                                <w:color w:val="FFFFFF" w:themeColor="background1"/>
                                <w:lang w:val="sv-SE"/>
                              </w:rPr>
                              <w:t>0</w:t>
                            </w:r>
                          </w:p>
                        </w:tc>
                      </w:tr>
                    </w:tbl>
                    <w:p w:rsidR="00E53B51" w:rsidRDefault="00E53B51" w:rsidP="00E53B51">
                      <w:pPr>
                        <w:jc w:val="center"/>
                      </w:pPr>
                    </w:p>
                  </w:txbxContent>
                </v:textbox>
              </v:rect>
            </w:pict>
          </mc:Fallback>
        </mc:AlternateContent>
      </w:r>
      <w:r w:rsidR="005776EB" w:rsidRPr="007E0B95">
        <w:rPr>
          <w:lang w:val="sv-SE"/>
        </w:rPr>
        <w:t xml:space="preserve">från </w:t>
      </w:r>
      <w:r w:rsidR="003A2391" w:rsidRPr="007E0B95">
        <w:rPr>
          <w:lang w:val="sv-SE"/>
        </w:rPr>
        <w:fldChar w:fldCharType="begin"/>
      </w:r>
      <w:r w:rsidR="00AE2A69" w:rsidRPr="007E0B95">
        <w:rPr>
          <w:caps w:val="0"/>
          <w:lang w:val="sv-SE"/>
        </w:rPr>
        <w:instrText xml:space="preserve"> ADDIN ZOTERO_ITEM CSL_CITATION {"citationID":"2jciphndms","properties":{"formattedCitation":"(Boverket, 2014, 2015, 2016)","plainCitation":"(BOVERKET, 2014, 2015, 2016)"},"citationItems":[{"id":1264,"uris":["http://zotero.org/users/3218498/items/Z5DUIZ8V"],"uri":["http://zotero.org/users/3218498/items/Z5DUIZ8V"],"itemData":{"id":1264,"type":"article","title":"Boverkets bostadsmarknadsenkät","publisher":"Boverket","URL":"http://www.boverket.se/sv/om-boverket/publicerat-av-boverket/oppna-data/","author":[{"family":"Boverket","given":""}],"issued":{"date-parts":[["2014"]]},"accessed":{"date-parts":[["2017",5,2]]}}},{"id":1261,"uris":["http://zotero.org/users/3218498/items/TB3U4RM2"],"uri":["http://zotero.org/users/3218498/items/TB3U4RM2"],"itemData":{"id":1261,"type":"article","title":"Boverkets bostadsmarknadsenkät","publisher":"Boverket","URL":"http://www.boverket.se/sv/om-boverket/publicerat-av-boverket/oppna-data/","author":[{"family":"Boverket","given":""}],"issued":{"date-parts":[["2015"]]},"accessed":{"date-parts":[["2017",5,2]]}}},{"id":1256,"uris":["http://zotero.org/users/3218498/items/MNCPSN6F"],"uri":["http://zotero.org/users/3218498/items/MNCPSN6F"],"itemData":{"id":1256,"type":"article","title":"Boverkets bostadsmarknadsenkät","publisher":"Boverket","URL":"http://www.boverket.se/sv/om-boverket/publicerat-av-boverket/oppna-data/","author":[{"family":"Boverket","given":""}],"issued":{"date-parts":[["2016"]]},"accessed":{"date-parts":[["2017",5,2]]}}}],"schema":"https://github.com/citation-style-language/schema/raw/master/csl-citation.json"} </w:instrText>
      </w:r>
      <w:r w:rsidR="003A2391" w:rsidRPr="007E0B95">
        <w:rPr>
          <w:lang w:val="sv-SE"/>
        </w:rPr>
        <w:fldChar w:fldCharType="separate"/>
      </w:r>
      <w:r w:rsidR="003A2391" w:rsidRPr="007E0B95">
        <w:rPr>
          <w:rFonts w:ascii="Calibri" w:hAnsi="Calibri" w:cs="Calibri"/>
          <w:lang w:val="sv-SE"/>
        </w:rPr>
        <w:t>(Boverket, 2014, 2015, 2016)</w:t>
      </w:r>
      <w:r w:rsidR="003A2391" w:rsidRPr="007E0B95">
        <w:rPr>
          <w:lang w:val="sv-SE"/>
        </w:rPr>
        <w:fldChar w:fldCharType="end"/>
      </w:r>
      <w:r w:rsidR="005776EB" w:rsidRPr="007E0B95">
        <w:rPr>
          <w:lang w:val="sv-SE"/>
        </w:rPr>
        <w:t>.</w:t>
      </w:r>
    </w:p>
    <w:p w:rsidR="00E96331" w:rsidRDefault="00E96331" w:rsidP="00D02960">
      <w:pPr>
        <w:pStyle w:val="Grundtextindrag"/>
        <w:rPr>
          <w:lang w:eastAsia="sv-SE"/>
        </w:rPr>
      </w:pPr>
    </w:p>
    <w:p w:rsidR="00BC18AC" w:rsidRDefault="00BC18AC" w:rsidP="00D02960">
      <w:pPr>
        <w:pStyle w:val="Grundtextindrag"/>
        <w:rPr>
          <w:lang w:eastAsia="sv-SE"/>
        </w:rPr>
      </w:pPr>
    </w:p>
    <w:p w:rsidR="00BC18AC" w:rsidRDefault="00BC18AC" w:rsidP="00D02960">
      <w:pPr>
        <w:pStyle w:val="Grundtextindrag"/>
        <w:rPr>
          <w:lang w:eastAsia="sv-SE"/>
        </w:rPr>
      </w:pPr>
    </w:p>
    <w:p w:rsidR="00BC18AC" w:rsidRDefault="00BC18AC" w:rsidP="00D02960">
      <w:pPr>
        <w:pStyle w:val="Grundtextindrag"/>
        <w:rPr>
          <w:lang w:eastAsia="sv-SE"/>
        </w:rPr>
      </w:pPr>
    </w:p>
    <w:p w:rsidR="00BC18AC" w:rsidRDefault="00BC18AC" w:rsidP="00D02960">
      <w:pPr>
        <w:pStyle w:val="Grundtextindrag"/>
        <w:rPr>
          <w:lang w:eastAsia="sv-SE"/>
        </w:rPr>
      </w:pPr>
    </w:p>
    <w:p w:rsidR="00BC18AC" w:rsidRDefault="00BC18AC" w:rsidP="00D02960">
      <w:pPr>
        <w:pStyle w:val="Grundtextindrag"/>
        <w:rPr>
          <w:lang w:eastAsia="sv-SE"/>
        </w:rPr>
      </w:pPr>
    </w:p>
    <w:p w:rsidR="00BC18AC" w:rsidRDefault="00BC18AC" w:rsidP="00D02960">
      <w:pPr>
        <w:pStyle w:val="Grundtextindrag"/>
        <w:rPr>
          <w:lang w:eastAsia="sv-SE"/>
        </w:rPr>
      </w:pPr>
    </w:p>
    <w:p w:rsidR="00BC18AC" w:rsidRDefault="00BC18AC" w:rsidP="00D02960">
      <w:pPr>
        <w:pStyle w:val="Grundtextindrag"/>
        <w:rPr>
          <w:lang w:eastAsia="sv-SE"/>
        </w:rPr>
      </w:pPr>
    </w:p>
    <w:p w:rsidR="00BC18AC" w:rsidRPr="007E0B95" w:rsidRDefault="00BC18AC" w:rsidP="00D02960">
      <w:pPr>
        <w:pStyle w:val="Grundtextindrag"/>
        <w:rPr>
          <w:lang w:eastAsia="sv-SE"/>
        </w:rPr>
      </w:pPr>
    </w:p>
    <w:p w:rsidR="00BC18AC" w:rsidRDefault="00BC18AC"/>
    <w:p w:rsidR="00BC18AC" w:rsidRDefault="00BC18AC"/>
    <w:p w:rsidR="00532107" w:rsidRPr="007E0B95" w:rsidRDefault="00984535" w:rsidP="00984535">
      <w:pPr>
        <w:ind w:firstLine="0"/>
      </w:pPr>
      <w:r>
        <w:t xml:space="preserve">    </w:t>
      </w:r>
      <w:r w:rsidR="00E96331" w:rsidRPr="007E0B95">
        <w:t>Trots en ganska tydlig problembild är det få kommuner som möter de problem som de själva identifierat</w:t>
      </w:r>
      <w:r w:rsidR="008D082D" w:rsidRPr="007E0B95">
        <w:t xml:space="preserve"> med egna åtgärder</w:t>
      </w:r>
      <w:r w:rsidR="00E96331" w:rsidRPr="007E0B95">
        <w:t xml:space="preserve">. </w:t>
      </w:r>
      <w:r w:rsidR="008D082D" w:rsidRPr="007E0B95">
        <w:t>Bara två</w:t>
      </w:r>
      <w:r w:rsidR="00E96331" w:rsidRPr="007E0B95">
        <w:t xml:space="preserve"> kommuner rapporterar att de satsar på att öka utbudet av bostäder generellt (att jämföra med de </w:t>
      </w:r>
      <w:r w:rsidR="0074220D" w:rsidRPr="007E0B95">
        <w:t>11</w:t>
      </w:r>
      <w:r w:rsidR="00E96331" w:rsidRPr="007E0B95">
        <w:t xml:space="preserve"> kommuner som rapporterar motsvarande brist)</w:t>
      </w:r>
      <w:r w:rsidR="008D082D" w:rsidRPr="007E0B95">
        <w:t>,</w:t>
      </w:r>
      <w:r w:rsidR="00E96331" w:rsidRPr="007E0B95">
        <w:t xml:space="preserve"> och </w:t>
      </w:r>
      <w:r w:rsidR="008D082D" w:rsidRPr="007E0B95">
        <w:t>bara tre</w:t>
      </w:r>
      <w:r w:rsidR="00E96331" w:rsidRPr="007E0B95">
        <w:t xml:space="preserve"> kommuner satsar på nyproduktion av små bostäder med lägre hyror (att jämföra med de </w:t>
      </w:r>
      <w:r w:rsidR="0074220D" w:rsidRPr="007E0B95">
        <w:t>7</w:t>
      </w:r>
      <w:r w:rsidR="00E96331" w:rsidRPr="007E0B95">
        <w:t xml:space="preserve"> kommuner som rapporterat om motsvarande brist). </w:t>
      </w:r>
      <w:r w:rsidR="0074220D" w:rsidRPr="007E0B95">
        <w:t>7</w:t>
      </w:r>
      <w:r w:rsidR="00E96331" w:rsidRPr="007E0B95">
        <w:t xml:space="preserve"> kommuner </w:t>
      </w:r>
      <w:r w:rsidR="00316C8D" w:rsidRPr="007E0B95">
        <w:t xml:space="preserve">i </w:t>
      </w:r>
      <w:r w:rsidR="0074220D" w:rsidRPr="007E0B95">
        <w:t>Storgöteborg</w:t>
      </w:r>
      <w:r w:rsidR="00316C8D" w:rsidRPr="007E0B95">
        <w:t xml:space="preserve"> </w:t>
      </w:r>
      <w:r w:rsidR="00E96331" w:rsidRPr="007E0B95">
        <w:t>uppger att de inte vidtar några åtgärder alls för att minska bostadsbristen för unga</w:t>
      </w:r>
      <w:r w:rsidR="0074220D" w:rsidRPr="007E0B95">
        <w:t xml:space="preserve">. </w:t>
      </w:r>
      <w:r w:rsidR="008D082D" w:rsidRPr="007E0B95">
        <w:t>Glädjande nog ser vi att</w:t>
      </w:r>
      <w:r w:rsidR="0074220D" w:rsidRPr="007E0B95">
        <w:t xml:space="preserve"> Göteborg stad avviker från mönstret av inaktivitet</w:t>
      </w:r>
      <w:r w:rsidR="00D85F4B" w:rsidRPr="007E0B95">
        <w:t xml:space="preserve">. </w:t>
      </w:r>
      <w:r w:rsidR="0074220D" w:rsidRPr="007E0B95">
        <w:t xml:space="preserve">Göteborg satsar både på bostadsbyggande generellt och </w:t>
      </w:r>
      <w:r w:rsidR="008647DD" w:rsidRPr="007E0B95">
        <w:t xml:space="preserve">på </w:t>
      </w:r>
      <w:r w:rsidR="0074220D" w:rsidRPr="007E0B95">
        <w:t>bostadsbyggande specifikt inriktat mot mindre bostäder</w:t>
      </w:r>
      <w:r w:rsidR="00D85F4B" w:rsidRPr="007E0B95">
        <w:t xml:space="preserve"> med lägre hyror</w:t>
      </w:r>
      <w:r w:rsidR="003A2391" w:rsidRPr="007E0B95">
        <w:t xml:space="preserve"> </w:t>
      </w:r>
      <w:r w:rsidR="003A2391" w:rsidRPr="007E0B95">
        <w:fldChar w:fldCharType="begin"/>
      </w:r>
      <w:r w:rsidR="00AE2A69" w:rsidRPr="007E0B95">
        <w:instrText xml:space="preserve"> ADDIN ZOTERO_ITEM CSL_CITATION {"citationID":"jc6uj3p59","properties":{"formattedCitation":"(Boverket, 2016)","plainCitation":"(Boverket, 2016)"},"citationItems":[{"id":1256,"uris":["http://zotero.org/users/3218498/items/MNCPSN6F"],"uri":["http://zotero.org/users/3218498/items/MNCPSN6F"],"itemData":{"id":1256,"type":"article","title":"Boverkets bostadsmarknadsenkät","publisher":"Boverket","URL":"http://www.boverket.se/sv/om-boverket/publicerat-av-boverket/oppna-data/","author":[{"family":"Boverket","given":""}],"issued":{"date-parts":[["2016"]]},"accessed":{"date-parts":[["2017",5,2]]}}}],"schema":"https://github.com/citation-style-language/schema/raw/master/csl-citation.json"} </w:instrText>
      </w:r>
      <w:r w:rsidR="003A2391" w:rsidRPr="007E0B95">
        <w:fldChar w:fldCharType="separate"/>
      </w:r>
      <w:r w:rsidR="003A2391" w:rsidRPr="007E0B95">
        <w:rPr>
          <w:rFonts w:cs="Times New Roman"/>
        </w:rPr>
        <w:t>(Boverket, 2016)</w:t>
      </w:r>
      <w:r w:rsidR="003A2391" w:rsidRPr="007E0B95">
        <w:fldChar w:fldCharType="end"/>
      </w:r>
      <w:r w:rsidR="00E96331" w:rsidRPr="007E0B95">
        <w:t xml:space="preserve">. </w:t>
      </w:r>
    </w:p>
    <w:p w:rsidR="008A6C85" w:rsidRPr="007E0B95" w:rsidRDefault="008A6C85" w:rsidP="008A6C85">
      <w:pPr>
        <w:pStyle w:val="Ingetavstnd"/>
        <w:rPr>
          <w:lang w:eastAsia="sv-SE"/>
        </w:rPr>
      </w:pPr>
    </w:p>
    <w:p w:rsidR="003B3BE4" w:rsidRPr="007E0B95" w:rsidRDefault="003B3BE4" w:rsidP="003B3BE4">
      <w:pPr>
        <w:pStyle w:val="Beskrivning"/>
        <w:keepNext/>
        <w:rPr>
          <w:lang w:val="sv-SE"/>
        </w:rPr>
      </w:pPr>
      <w:r w:rsidRPr="007E0B95">
        <w:rPr>
          <w:lang w:val="sv-SE"/>
        </w:rPr>
        <w:t xml:space="preserve">Tabell </w:t>
      </w:r>
      <w:r w:rsidRPr="007E0B95">
        <w:rPr>
          <w:lang w:val="sv-SE"/>
        </w:rPr>
        <w:fldChar w:fldCharType="begin"/>
      </w:r>
      <w:r w:rsidRPr="007E0B95">
        <w:rPr>
          <w:lang w:val="sv-SE"/>
        </w:rPr>
        <w:instrText xml:space="preserve"> SEQ Tabell \* ARABIC </w:instrText>
      </w:r>
      <w:r w:rsidRPr="007E0B95">
        <w:rPr>
          <w:lang w:val="sv-SE"/>
        </w:rPr>
        <w:fldChar w:fldCharType="separate"/>
      </w:r>
      <w:r w:rsidR="006450EC">
        <w:rPr>
          <w:noProof/>
          <w:lang w:val="sv-SE"/>
        </w:rPr>
        <w:t>2</w:t>
      </w:r>
      <w:r w:rsidRPr="007E0B95">
        <w:rPr>
          <w:lang w:val="sv-SE"/>
        </w:rPr>
        <w:fldChar w:fldCharType="end"/>
      </w:r>
      <w:r w:rsidRPr="007E0B95">
        <w:rPr>
          <w:lang w:val="sv-SE"/>
        </w:rPr>
        <w:t>, BOENDEFORMER FÖR SAMTLIGA UNGA VUXNA i storgöteborg</w:t>
      </w:r>
    </w:p>
    <w:tbl>
      <w:tblPr>
        <w:tblW w:w="8613" w:type="dxa"/>
        <w:tblLook w:val="04A0" w:firstRow="1" w:lastRow="0" w:firstColumn="1" w:lastColumn="0" w:noHBand="0" w:noVBand="1"/>
      </w:tblPr>
      <w:tblGrid>
        <w:gridCol w:w="2792"/>
        <w:gridCol w:w="1648"/>
        <w:gridCol w:w="4173"/>
      </w:tblGrid>
      <w:tr w:rsidR="00E53B51" w:rsidRPr="00737594" w:rsidTr="00162FE6">
        <w:trPr>
          <w:trHeight w:val="333"/>
        </w:trPr>
        <w:tc>
          <w:tcPr>
            <w:tcW w:w="2792" w:type="dxa"/>
            <w:tcBorders>
              <w:top w:val="single" w:sz="4" w:space="0" w:color="auto"/>
              <w:left w:val="single" w:sz="4" w:space="0" w:color="auto"/>
              <w:bottom w:val="single" w:sz="4" w:space="0" w:color="auto"/>
              <w:right w:val="nil"/>
            </w:tcBorders>
            <w:shd w:val="clear" w:color="auto" w:fill="A6A6A6" w:themeFill="background1" w:themeFillShade="A6"/>
            <w:noWrap/>
            <w:vAlign w:val="center"/>
          </w:tcPr>
          <w:p w:rsidR="003B3BE4" w:rsidRPr="00737594" w:rsidRDefault="003B3BE4" w:rsidP="00E53B51">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C00000"/>
                <w:sz w:val="20"/>
                <w:szCs w:val="20"/>
              </w:rPr>
              <w:t>Boendeform</w:t>
            </w:r>
          </w:p>
        </w:tc>
        <w:tc>
          <w:tcPr>
            <w:tcW w:w="1648" w:type="dxa"/>
            <w:tcBorders>
              <w:top w:val="single" w:sz="4" w:space="0" w:color="auto"/>
              <w:left w:val="nil"/>
              <w:bottom w:val="single" w:sz="4" w:space="0" w:color="auto"/>
              <w:right w:val="nil"/>
            </w:tcBorders>
            <w:shd w:val="clear" w:color="auto" w:fill="A6A6A6" w:themeFill="background1" w:themeFillShade="A6"/>
            <w:noWrap/>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C00000"/>
                <w:sz w:val="20"/>
                <w:szCs w:val="20"/>
              </w:rPr>
              <w:t>Andel</w:t>
            </w:r>
          </w:p>
        </w:tc>
        <w:tc>
          <w:tcPr>
            <w:tcW w:w="4173" w:type="dxa"/>
            <w:tcBorders>
              <w:top w:val="single" w:sz="4" w:space="0" w:color="auto"/>
              <w:left w:val="nil"/>
              <w:bottom w:val="single" w:sz="4" w:space="0" w:color="auto"/>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C00000"/>
                <w:sz w:val="20"/>
                <w:szCs w:val="20"/>
              </w:rPr>
            </w:pPr>
            <w:r w:rsidRPr="00737594">
              <w:rPr>
                <w:rFonts w:ascii="Arial" w:hAnsi="Arial" w:cs="Arial"/>
                <w:color w:val="C00000"/>
                <w:sz w:val="20"/>
                <w:szCs w:val="20"/>
              </w:rPr>
              <w:t>Antal personer</w:t>
            </w:r>
          </w:p>
        </w:tc>
      </w:tr>
      <w:tr w:rsidR="00162FE6" w:rsidRPr="00162FE6" w:rsidTr="00984535">
        <w:trPr>
          <w:trHeight w:val="333"/>
        </w:trPr>
        <w:tc>
          <w:tcPr>
            <w:tcW w:w="2792" w:type="dxa"/>
            <w:tcBorders>
              <w:top w:val="single" w:sz="4" w:space="0" w:color="auto"/>
              <w:left w:val="single" w:sz="4" w:space="0" w:color="auto"/>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Hyresrätt</w:t>
            </w:r>
          </w:p>
        </w:tc>
        <w:tc>
          <w:tcPr>
            <w:tcW w:w="1648" w:type="dxa"/>
            <w:tcBorders>
              <w:top w:val="single" w:sz="4" w:space="0" w:color="auto"/>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26,3 %</w:t>
            </w:r>
          </w:p>
        </w:tc>
        <w:tc>
          <w:tcPr>
            <w:tcW w:w="4173" w:type="dxa"/>
            <w:tcBorders>
              <w:top w:val="single" w:sz="4" w:space="0" w:color="auto"/>
              <w:left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30 000</w:t>
            </w:r>
          </w:p>
        </w:tc>
      </w:tr>
      <w:tr w:rsidR="003B3BE4" w:rsidRPr="00737594" w:rsidTr="00984535">
        <w:trPr>
          <w:trHeight w:val="333"/>
        </w:trPr>
        <w:tc>
          <w:tcPr>
            <w:tcW w:w="2792" w:type="dxa"/>
            <w:tcBorders>
              <w:top w:val="nil"/>
              <w:left w:val="single" w:sz="4" w:space="0" w:color="auto"/>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Bostadsrätt</w:t>
            </w:r>
          </w:p>
        </w:tc>
        <w:tc>
          <w:tcPr>
            <w:tcW w:w="1648" w:type="dxa"/>
            <w:tcBorders>
              <w:top w:val="nil"/>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15,3 %</w:t>
            </w:r>
          </w:p>
        </w:tc>
        <w:tc>
          <w:tcPr>
            <w:tcW w:w="4173" w:type="dxa"/>
            <w:tcBorders>
              <w:top w:val="nil"/>
              <w:left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17 500</w:t>
            </w:r>
          </w:p>
        </w:tc>
      </w:tr>
      <w:tr w:rsidR="003B3BE4" w:rsidRPr="00737594" w:rsidTr="00984535">
        <w:trPr>
          <w:trHeight w:val="333"/>
        </w:trPr>
        <w:tc>
          <w:tcPr>
            <w:tcW w:w="2792" w:type="dxa"/>
            <w:tcBorders>
              <w:top w:val="nil"/>
              <w:left w:val="single" w:sz="4" w:space="0" w:color="auto"/>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Eget hus</w:t>
            </w:r>
          </w:p>
        </w:tc>
        <w:tc>
          <w:tcPr>
            <w:tcW w:w="1648" w:type="dxa"/>
            <w:tcBorders>
              <w:top w:val="nil"/>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2,1 %</w:t>
            </w:r>
          </w:p>
        </w:tc>
        <w:tc>
          <w:tcPr>
            <w:tcW w:w="4173" w:type="dxa"/>
            <w:tcBorders>
              <w:top w:val="nil"/>
              <w:left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2 400</w:t>
            </w:r>
          </w:p>
        </w:tc>
      </w:tr>
      <w:tr w:rsidR="003B3BE4" w:rsidRPr="00737594" w:rsidTr="00162FE6">
        <w:trPr>
          <w:trHeight w:val="333"/>
        </w:trPr>
        <w:tc>
          <w:tcPr>
            <w:tcW w:w="2792" w:type="dxa"/>
            <w:tcBorders>
              <w:top w:val="nil"/>
              <w:left w:val="single" w:sz="4" w:space="0" w:color="auto"/>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Studentbostad</w:t>
            </w:r>
          </w:p>
        </w:tc>
        <w:tc>
          <w:tcPr>
            <w:tcW w:w="1648" w:type="dxa"/>
            <w:tcBorders>
              <w:top w:val="nil"/>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11,2 %</w:t>
            </w:r>
          </w:p>
        </w:tc>
        <w:tc>
          <w:tcPr>
            <w:tcW w:w="4173" w:type="dxa"/>
            <w:tcBorders>
              <w:top w:val="nil"/>
              <w:left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12 800</w:t>
            </w:r>
          </w:p>
        </w:tc>
      </w:tr>
      <w:tr w:rsidR="003B3BE4" w:rsidRPr="00737594" w:rsidTr="00162FE6">
        <w:trPr>
          <w:trHeight w:val="333"/>
        </w:trPr>
        <w:tc>
          <w:tcPr>
            <w:tcW w:w="2792" w:type="dxa"/>
            <w:tcBorders>
              <w:top w:val="nil"/>
              <w:left w:val="single" w:sz="4" w:space="0" w:color="auto"/>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Hemmaboende</w:t>
            </w:r>
          </w:p>
        </w:tc>
        <w:tc>
          <w:tcPr>
            <w:tcW w:w="1648" w:type="dxa"/>
            <w:tcBorders>
              <w:top w:val="nil"/>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25,3 %</w:t>
            </w:r>
          </w:p>
        </w:tc>
        <w:tc>
          <w:tcPr>
            <w:tcW w:w="4173" w:type="dxa"/>
            <w:tcBorders>
              <w:top w:val="nil"/>
              <w:left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28 900</w:t>
            </w:r>
          </w:p>
        </w:tc>
      </w:tr>
      <w:tr w:rsidR="003B3BE4" w:rsidRPr="00737594" w:rsidTr="00162FE6">
        <w:trPr>
          <w:trHeight w:val="333"/>
        </w:trPr>
        <w:tc>
          <w:tcPr>
            <w:tcW w:w="2792" w:type="dxa"/>
            <w:tcBorders>
              <w:top w:val="nil"/>
              <w:left w:val="single" w:sz="4" w:space="0" w:color="auto"/>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2a/3e hand</w:t>
            </w:r>
          </w:p>
        </w:tc>
        <w:tc>
          <w:tcPr>
            <w:tcW w:w="1648" w:type="dxa"/>
            <w:tcBorders>
              <w:top w:val="nil"/>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9,7 %</w:t>
            </w:r>
          </w:p>
        </w:tc>
        <w:tc>
          <w:tcPr>
            <w:tcW w:w="4173" w:type="dxa"/>
            <w:tcBorders>
              <w:top w:val="nil"/>
              <w:left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11 100</w:t>
            </w:r>
          </w:p>
        </w:tc>
      </w:tr>
      <w:tr w:rsidR="003B3BE4" w:rsidRPr="00737594" w:rsidTr="00162FE6">
        <w:trPr>
          <w:trHeight w:val="333"/>
        </w:trPr>
        <w:tc>
          <w:tcPr>
            <w:tcW w:w="2792" w:type="dxa"/>
            <w:tcBorders>
              <w:left w:val="single" w:sz="4" w:space="0" w:color="auto"/>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Inneboende</w:t>
            </w:r>
          </w:p>
        </w:tc>
        <w:tc>
          <w:tcPr>
            <w:tcW w:w="1648" w:type="dxa"/>
            <w:tcBorders>
              <w:top w:val="nil"/>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9,1 %</w:t>
            </w:r>
          </w:p>
        </w:tc>
        <w:tc>
          <w:tcPr>
            <w:tcW w:w="4173" w:type="dxa"/>
            <w:tcBorders>
              <w:top w:val="nil"/>
              <w:left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10 400</w:t>
            </w:r>
          </w:p>
        </w:tc>
      </w:tr>
      <w:tr w:rsidR="003B3BE4" w:rsidRPr="00737594" w:rsidTr="00162FE6">
        <w:trPr>
          <w:trHeight w:val="333"/>
        </w:trPr>
        <w:tc>
          <w:tcPr>
            <w:tcW w:w="2792" w:type="dxa"/>
            <w:tcBorders>
              <w:top w:val="nil"/>
              <w:left w:val="single" w:sz="4" w:space="0" w:color="auto"/>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left"/>
              <w:rPr>
                <w:rFonts w:ascii="Arial" w:eastAsia="Times New Roman" w:hAnsi="Arial" w:cs="Arial"/>
                <w:color w:val="FFFFFF" w:themeColor="background1"/>
                <w:sz w:val="20"/>
                <w:szCs w:val="20"/>
              </w:rPr>
            </w:pPr>
            <w:r w:rsidRPr="00737594">
              <w:rPr>
                <w:rFonts w:ascii="Arial" w:eastAsia="Times New Roman" w:hAnsi="Arial" w:cs="Arial"/>
                <w:color w:val="FFFFFF" w:themeColor="background1"/>
                <w:sz w:val="20"/>
                <w:szCs w:val="20"/>
              </w:rPr>
              <w:t>Annat</w:t>
            </w:r>
          </w:p>
        </w:tc>
        <w:tc>
          <w:tcPr>
            <w:tcW w:w="1648" w:type="dxa"/>
            <w:tcBorders>
              <w:top w:val="nil"/>
              <w:left w:val="nil"/>
              <w:bottom w:val="nil"/>
              <w:right w:val="nil"/>
            </w:tcBorders>
            <w:shd w:val="clear" w:color="auto" w:fill="A6A6A6" w:themeFill="background1" w:themeFillShade="A6"/>
            <w:noWrap/>
            <w:vAlign w:val="center"/>
            <w:hideMark/>
          </w:tcPr>
          <w:p w:rsidR="003B3BE4" w:rsidRPr="00737594" w:rsidRDefault="003B3BE4" w:rsidP="000F36A0">
            <w:pPr>
              <w:spacing w:line="240" w:lineRule="auto"/>
              <w:ind w:firstLine="0"/>
              <w:jc w:val="right"/>
              <w:rPr>
                <w:rFonts w:ascii="Arial" w:eastAsia="Times New Roman" w:hAnsi="Arial" w:cs="Arial"/>
                <w:color w:val="FFFFFF" w:themeColor="background1"/>
                <w:sz w:val="20"/>
                <w:szCs w:val="20"/>
              </w:rPr>
            </w:pPr>
            <w:r w:rsidRPr="00737594">
              <w:rPr>
                <w:rFonts w:ascii="Arial" w:hAnsi="Arial" w:cs="Arial"/>
                <w:color w:val="FFFFFF" w:themeColor="background1"/>
                <w:sz w:val="20"/>
                <w:szCs w:val="20"/>
              </w:rPr>
              <w:t>0,9 %</w:t>
            </w:r>
          </w:p>
        </w:tc>
        <w:tc>
          <w:tcPr>
            <w:tcW w:w="4173" w:type="dxa"/>
            <w:tcBorders>
              <w:top w:val="nil"/>
              <w:left w:val="nil"/>
              <w:bottom w:val="nil"/>
              <w:right w:val="single" w:sz="4" w:space="0" w:color="auto"/>
            </w:tcBorders>
            <w:shd w:val="clear" w:color="auto" w:fill="A6A6A6" w:themeFill="background1" w:themeFillShade="A6"/>
            <w:vAlign w:val="center"/>
          </w:tcPr>
          <w:p w:rsidR="003B3BE4" w:rsidRPr="00737594" w:rsidRDefault="003B3BE4" w:rsidP="000F36A0">
            <w:pPr>
              <w:spacing w:line="240" w:lineRule="auto"/>
              <w:ind w:firstLine="0"/>
              <w:jc w:val="right"/>
              <w:rPr>
                <w:rFonts w:ascii="Arial" w:hAnsi="Arial" w:cs="Arial"/>
                <w:color w:val="FFFFFF" w:themeColor="background1"/>
                <w:sz w:val="20"/>
                <w:szCs w:val="20"/>
              </w:rPr>
            </w:pPr>
            <w:r w:rsidRPr="00737594">
              <w:rPr>
                <w:rFonts w:ascii="Arial" w:hAnsi="Arial" w:cs="Arial"/>
                <w:color w:val="FFFFFF" w:themeColor="background1"/>
                <w:sz w:val="20"/>
                <w:szCs w:val="20"/>
              </w:rPr>
              <w:t>1 000</w:t>
            </w:r>
          </w:p>
        </w:tc>
      </w:tr>
    </w:tbl>
    <w:p w:rsidR="003B3BE4" w:rsidRPr="007E0B95" w:rsidRDefault="003B3BE4" w:rsidP="003B3BE4">
      <w:pPr>
        <w:pStyle w:val="Ingetavstnd"/>
      </w:pPr>
    </w:p>
    <w:p w:rsidR="003B3BE4" w:rsidRPr="007E0B95" w:rsidRDefault="003B3BE4" w:rsidP="007E0B95">
      <w:r w:rsidRPr="007E0B95">
        <w:t xml:space="preserve">Totalt finns </w:t>
      </w:r>
      <w:r w:rsidR="00D35053" w:rsidRPr="007E0B95">
        <w:t>det 114</w:t>
      </w:r>
      <w:r w:rsidRPr="007E0B95">
        <w:t xml:space="preserve"> 300 personer i åldrarna 20-27 i Storgöteborg. Undersökningen av unga vuxnas situation på bostadsmarknaden </w:t>
      </w:r>
      <w:r w:rsidR="00D35053" w:rsidRPr="007E0B95">
        <w:t>i Storgöteborg</w:t>
      </w:r>
      <w:r w:rsidRPr="007E0B95">
        <w:t xml:space="preserve"> visar att 25,3 procent, eller 28 900 personer är hemmaboende. Det är som vi ska se en ökning jämfört med förra mätningen 2015. </w:t>
      </w:r>
      <w:r w:rsidR="007E0B95" w:rsidRPr="007E0B95">
        <w:t xml:space="preserve">Som vi tidigare konstaterat kommer vi </w:t>
      </w:r>
      <w:r w:rsidR="00D35053">
        <w:t xml:space="preserve">att </w:t>
      </w:r>
      <w:r w:rsidR="007E0B95" w:rsidRPr="007E0B95">
        <w:t xml:space="preserve">bygga rapporten på två huvudgrupper; unga vuxna som bor kvar hemma och de som har eget boende. </w:t>
      </w:r>
      <w:r w:rsidRPr="007E0B95">
        <w:t>43,7 procent eller 49 900 personer har</w:t>
      </w:r>
      <w:r w:rsidR="007E0B95" w:rsidRPr="007E0B95">
        <w:t xml:space="preserve"> enligt undersökningen</w:t>
      </w:r>
      <w:r w:rsidRPr="007E0B95">
        <w:t xml:space="preserve"> ett fast eget </w:t>
      </w:r>
      <w:r w:rsidRPr="007E0B95">
        <w:lastRenderedPageBreak/>
        <w:t xml:space="preserve">boende med besittningsskydd, vilket är en minskning sedan 2015. De som bor i ett boende utan besittningsskydd uppgår till </w:t>
      </w:r>
      <w:r w:rsidR="007E0B95" w:rsidRPr="007E0B95">
        <w:t>30,9</w:t>
      </w:r>
      <w:r w:rsidRPr="007E0B95">
        <w:t xml:space="preserve"> procent eller </w:t>
      </w:r>
      <w:r w:rsidR="007E0B95" w:rsidRPr="007E0B95">
        <w:t>35 300</w:t>
      </w:r>
      <w:r w:rsidRPr="007E0B95">
        <w:t xml:space="preserve"> personer vilket är en </w:t>
      </w:r>
      <w:r w:rsidR="007E0B95" w:rsidRPr="007E0B95">
        <w:t>liten minskning</w:t>
      </w:r>
      <w:r w:rsidRPr="007E0B95">
        <w:t xml:space="preserve"> sedan 2015. </w:t>
      </w:r>
    </w:p>
    <w:p w:rsidR="008A6C85" w:rsidRPr="007E0B95" w:rsidRDefault="003B3BE4" w:rsidP="003B3BE4">
      <w:pPr>
        <w:pStyle w:val="Ingetavstnd"/>
        <w:rPr>
          <w:lang w:eastAsia="sv-SE"/>
        </w:rPr>
      </w:pPr>
      <w:r w:rsidRPr="007E0B95">
        <w:t xml:space="preserve"> </w:t>
      </w:r>
      <w:r w:rsidRPr="007E0B95">
        <w:rPr>
          <w:lang w:eastAsia="sv-SE"/>
        </w:rPr>
        <w:br w:type="page"/>
      </w:r>
    </w:p>
    <w:p w:rsidR="008A6C85" w:rsidRPr="007E0B95" w:rsidRDefault="008A6C85" w:rsidP="008A6C85">
      <w:pPr>
        <w:pStyle w:val="Ingetavstnd"/>
        <w:rPr>
          <w:lang w:eastAsia="sv-SE"/>
        </w:rPr>
      </w:pPr>
    </w:p>
    <w:p w:rsidR="00E96331" w:rsidRPr="00BC18AC" w:rsidRDefault="00E96331">
      <w:pPr>
        <w:pStyle w:val="Rubrik1"/>
        <w:rPr>
          <w:rFonts w:ascii="Arial" w:hAnsi="Arial" w:cs="Arial"/>
          <w:b/>
          <w:sz w:val="32"/>
          <w:lang w:eastAsia="sv-SE"/>
        </w:rPr>
      </w:pPr>
      <w:bookmarkStart w:id="5" w:name="_Toc481738285"/>
      <w:r w:rsidRPr="00BC18AC">
        <w:rPr>
          <w:rFonts w:ascii="Arial" w:hAnsi="Arial" w:cs="Arial"/>
          <w:b/>
          <w:sz w:val="32"/>
          <w:lang w:eastAsia="sv-SE"/>
        </w:rPr>
        <w:t xml:space="preserve">Unga vuxna som bor </w:t>
      </w:r>
      <w:r w:rsidR="000E3D50" w:rsidRPr="00BC18AC">
        <w:rPr>
          <w:rFonts w:ascii="Arial" w:hAnsi="Arial" w:cs="Arial"/>
          <w:b/>
          <w:sz w:val="32"/>
          <w:lang w:eastAsia="sv-SE"/>
        </w:rPr>
        <w:t xml:space="preserve">kvar </w:t>
      </w:r>
      <w:r w:rsidRPr="00BC18AC">
        <w:rPr>
          <w:rFonts w:ascii="Arial" w:hAnsi="Arial" w:cs="Arial"/>
          <w:b/>
          <w:sz w:val="32"/>
          <w:lang w:eastAsia="sv-SE"/>
        </w:rPr>
        <w:t>hemma</w:t>
      </w:r>
      <w:bookmarkEnd w:id="5"/>
    </w:p>
    <w:p w:rsidR="008D082D" w:rsidRDefault="00E96331" w:rsidP="00D02960">
      <w:r w:rsidRPr="007E0B95">
        <w:t xml:space="preserve">Den främsta effekten av den bostadsbrist som kommunerna rapporterar om är att det blir svårare och svårare för unga att flytta hemifrån. 2017 </w:t>
      </w:r>
      <w:r w:rsidR="00C64A41" w:rsidRPr="007E0B95">
        <w:t xml:space="preserve">har </w:t>
      </w:r>
      <w:r w:rsidRPr="007E0B95">
        <w:t xml:space="preserve">andelen unga vuxna i åldrarna 20-27 som bor hemma </w:t>
      </w:r>
      <w:r w:rsidR="00C64A41" w:rsidRPr="007E0B95">
        <w:t xml:space="preserve">i </w:t>
      </w:r>
      <w:r w:rsidR="004344F5" w:rsidRPr="007E0B95">
        <w:t>Storgöteborg</w:t>
      </w:r>
      <w:r w:rsidR="00C64A41" w:rsidRPr="007E0B95">
        <w:t xml:space="preserve"> åter vänt uppåt till </w:t>
      </w:r>
      <w:r w:rsidR="00FC1567" w:rsidRPr="007E0B95">
        <w:t>25,3</w:t>
      </w:r>
      <w:r w:rsidR="0000619A" w:rsidRPr="007E0B95">
        <w:t xml:space="preserve"> procent</w:t>
      </w:r>
      <w:r w:rsidR="00C64A41" w:rsidRPr="007E0B95">
        <w:t xml:space="preserve">. </w:t>
      </w:r>
      <w:r w:rsidR="00DD43CD" w:rsidRPr="007E0B95">
        <w:t xml:space="preserve">Det motsvarar uppskattningsvis </w:t>
      </w:r>
      <w:r w:rsidR="004344F5" w:rsidRPr="007E0B95">
        <w:t>28 900</w:t>
      </w:r>
      <w:r w:rsidR="00DD43CD" w:rsidRPr="007E0B95">
        <w:t xml:space="preserve"> personer. </w:t>
      </w:r>
      <w:r w:rsidR="00C64A41" w:rsidRPr="007E0B95">
        <w:t xml:space="preserve">Den minskning av andelen hemmaboende som syntes 2015 har alltså upphört och siffrorna har återigen börjar stiga, se figur 1. </w:t>
      </w:r>
      <w:r w:rsidR="008D082D" w:rsidRPr="007E0B95">
        <w:t>Av de cirka 28 900 unga vuxna som var hemmaboende i Storgöteborg 2017 vill 83,4</w:t>
      </w:r>
      <w:r w:rsidR="0000619A" w:rsidRPr="007E0B95">
        <w:t xml:space="preserve"> procent</w:t>
      </w:r>
      <w:r w:rsidR="008D082D" w:rsidRPr="007E0B95">
        <w:t xml:space="preserve"> flytta hemifrån, vilket motsvarar 24 100 ofrivilligt hemmaboende unga vuxna.</w:t>
      </w:r>
    </w:p>
    <w:p w:rsidR="00663532" w:rsidRPr="00663532" w:rsidRDefault="00663532" w:rsidP="00663532">
      <w:pPr>
        <w:pStyle w:val="Ingetavstnd"/>
      </w:pPr>
    </w:p>
    <w:p w:rsidR="00E96331" w:rsidRPr="00663532" w:rsidRDefault="00663532" w:rsidP="00663532">
      <w:pPr>
        <w:pStyle w:val="Beskrivning"/>
        <w:rPr>
          <w:lang w:val="sv-SE"/>
        </w:rPr>
      </w:pPr>
      <w:r w:rsidRPr="007E0B95">
        <w:rPr>
          <w:lang w:val="sv-SE"/>
        </w:rPr>
        <w:t xml:space="preserve">Figur </w:t>
      </w:r>
      <w:r w:rsidRPr="007E0B95">
        <w:rPr>
          <w:lang w:val="sv-SE"/>
        </w:rPr>
        <w:fldChar w:fldCharType="begin"/>
      </w:r>
      <w:r w:rsidRPr="007E0B95">
        <w:rPr>
          <w:lang w:val="sv-SE"/>
        </w:rPr>
        <w:instrText xml:space="preserve"> SEQ Figur \* ARABIC </w:instrText>
      </w:r>
      <w:r w:rsidRPr="007E0B95">
        <w:rPr>
          <w:lang w:val="sv-SE"/>
        </w:rPr>
        <w:fldChar w:fldCharType="separate"/>
      </w:r>
      <w:r w:rsidR="006450EC">
        <w:rPr>
          <w:noProof/>
          <w:lang w:val="sv-SE"/>
        </w:rPr>
        <w:t>1</w:t>
      </w:r>
      <w:r w:rsidRPr="007E0B95">
        <w:rPr>
          <w:lang w:val="sv-SE"/>
        </w:rPr>
        <w:fldChar w:fldCharType="end"/>
      </w:r>
      <w:r w:rsidRPr="007E0B95">
        <w:rPr>
          <w:lang w:val="sv-SE"/>
        </w:rPr>
        <w:t>, andel hemmaboende bland unga vuxna i åldrarna 20-27 år i storgöteborg</w:t>
      </w:r>
      <w:r>
        <w:rPr>
          <w:lang w:val="sv-SE"/>
        </w:rPr>
        <w:t>.</w:t>
      </w:r>
    </w:p>
    <w:p w:rsidR="003C6930" w:rsidRPr="007E0B95" w:rsidRDefault="004344F5" w:rsidP="003C6930">
      <w:pPr>
        <w:pStyle w:val="Ingetavstnd"/>
        <w:keepNext/>
      </w:pPr>
      <w:r w:rsidRPr="007E0B95">
        <w:rPr>
          <w:noProof/>
          <w:lang w:eastAsia="sv-SE"/>
        </w:rPr>
        <w:drawing>
          <wp:inline distT="0" distB="0" distL="0" distR="0" wp14:anchorId="19C0D2A2" wp14:editId="155D4681">
            <wp:extent cx="5040000" cy="2880000"/>
            <wp:effectExtent l="0" t="0" r="8255" b="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27813A-23A0-46F7-8873-B19E6AA4C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247C" w:rsidRPr="00D45501" w:rsidRDefault="005776EB">
      <w:pPr>
        <w:pStyle w:val="Rubrik2"/>
        <w:rPr>
          <w:rFonts w:ascii="Arial" w:hAnsi="Arial" w:cs="Arial"/>
          <w:b/>
        </w:rPr>
      </w:pPr>
      <w:bookmarkStart w:id="6" w:name="_Toc481738286"/>
      <w:r w:rsidRPr="00D45501">
        <w:rPr>
          <w:rFonts w:ascii="Arial" w:hAnsi="Arial" w:cs="Arial"/>
          <w:b/>
        </w:rPr>
        <w:t xml:space="preserve">Hemmaboende i </w:t>
      </w:r>
      <w:r w:rsidR="00712D4D" w:rsidRPr="00D45501">
        <w:rPr>
          <w:rFonts w:ascii="Arial" w:hAnsi="Arial" w:cs="Arial"/>
          <w:b/>
        </w:rPr>
        <w:t>S</w:t>
      </w:r>
      <w:r w:rsidR="001C2383" w:rsidRPr="00D45501">
        <w:rPr>
          <w:rFonts w:ascii="Arial" w:hAnsi="Arial" w:cs="Arial"/>
          <w:b/>
        </w:rPr>
        <w:t>torgöteborgs</w:t>
      </w:r>
      <w:r w:rsidRPr="00D45501">
        <w:rPr>
          <w:rFonts w:ascii="Arial" w:hAnsi="Arial" w:cs="Arial"/>
          <w:b/>
        </w:rPr>
        <w:t xml:space="preserve"> kommuner</w:t>
      </w:r>
      <w:bookmarkEnd w:id="6"/>
    </w:p>
    <w:p w:rsidR="003769D6" w:rsidRPr="007E0B95" w:rsidRDefault="003769D6" w:rsidP="00D02960">
      <w:pPr>
        <w:ind w:firstLine="227"/>
      </w:pPr>
      <w:r w:rsidRPr="007E0B95">
        <w:t xml:space="preserve">Hemmaboendet ökar i </w:t>
      </w:r>
      <w:r w:rsidR="006740E3" w:rsidRPr="007E0B95">
        <w:t>riket</w:t>
      </w:r>
      <w:r w:rsidRPr="007E0B95">
        <w:t xml:space="preserve"> som helhet och ökningen är som störst </w:t>
      </w:r>
      <w:r w:rsidR="006740E3" w:rsidRPr="007E0B95">
        <w:t>i</w:t>
      </w:r>
      <w:r w:rsidRPr="007E0B95">
        <w:t xml:space="preserve"> </w:t>
      </w:r>
      <w:r w:rsidR="006740E3" w:rsidRPr="007E0B95">
        <w:t>storstädernas kranskommuner</w:t>
      </w:r>
      <w:r w:rsidRPr="007E0B95">
        <w:t xml:space="preserve">. Det framgår av SCBs statistik över hemmaboende unga vuxna </w:t>
      </w:r>
      <w:r w:rsidR="003A2391" w:rsidRPr="007E0B95">
        <w:fldChar w:fldCharType="begin"/>
      </w:r>
      <w:r w:rsidR="00AE2A69" w:rsidRPr="007E0B95">
        <w:instrText xml:space="preserve"> ADDIN ZOTERO_ITEM CSL_CITATION {"citationID":"2crlnf2thc","properties":{"formattedCitation":"(SCB, 2015)","plainCitation":"(SCB, 2015)"},"citationItems":[{"id":1258,"uris":["http://zotero.org/users/3218498/items/QSZUVMMC"],"uri":["http://zotero.org/users/3218498/items/QSZUVMMC"],"itemData":{"id":1258,"type":"article","title":"Boendevariabler efter kommun. År 1998 - 2015","publisher":"Statistiska centralbyrån, SCB","URL":"http://www.statistikdatabasen.scb.se","author":[{"family":"SCB","given":""}],"issued":{"date-parts":[["2015"]]},"accessed":{"date-parts":[["2017",5,2]]}}}],"schema":"https://github.com/citation-style-language/schema/raw/master/csl-citation.json"} </w:instrText>
      </w:r>
      <w:r w:rsidR="003A2391" w:rsidRPr="007E0B95">
        <w:fldChar w:fldCharType="separate"/>
      </w:r>
      <w:r w:rsidR="003A2391" w:rsidRPr="007E0B95">
        <w:rPr>
          <w:rFonts w:cs="Times New Roman"/>
        </w:rPr>
        <w:t>(SCB, 2015)</w:t>
      </w:r>
      <w:r w:rsidR="003A2391" w:rsidRPr="007E0B95">
        <w:fldChar w:fldCharType="end"/>
      </w:r>
      <w:r w:rsidRPr="007E0B95">
        <w:t xml:space="preserve">, som Hyresgästföreningen här presenterar i </w:t>
      </w:r>
      <w:r w:rsidR="006740E3" w:rsidRPr="007E0B95">
        <w:t>kartformat</w:t>
      </w:r>
      <w:r w:rsidRPr="007E0B95">
        <w:t xml:space="preserve"> (figur 2). </w:t>
      </w:r>
      <w:r w:rsidR="006740E3" w:rsidRPr="007E0B95">
        <w:t>I figur 2 kan man</w:t>
      </w:r>
      <w:r w:rsidRPr="007E0B95">
        <w:t xml:space="preserve"> se hur hemmaboendet utvecklar sig i Storgöteborg från 1998 fram till 2015 som är SCBs senast samanställda statistik</w:t>
      </w:r>
      <w:r w:rsidRPr="007E0B95">
        <w:rPr>
          <w:vertAlign w:val="superscript"/>
        </w:rPr>
        <w:t xml:space="preserve"> </w:t>
      </w:r>
      <w:r w:rsidRPr="007E0B95">
        <w:rPr>
          <w:rStyle w:val="Fotnotsreferens"/>
        </w:rPr>
        <w:footnoteReference w:id="1"/>
      </w:r>
      <w:r w:rsidRPr="007E0B95">
        <w:t xml:space="preserve">. Kartan finns i en interaktiv online-version på </w:t>
      </w:r>
      <w:hyperlink r:id="rId12" w:history="1">
        <w:r w:rsidRPr="007E0B95">
          <w:rPr>
            <w:color w:val="C00000"/>
            <w:u w:val="single"/>
          </w:rPr>
          <w:t>http://hyresfakta.nu/hemmaboende/</w:t>
        </w:r>
      </w:hyperlink>
      <w:r w:rsidRPr="007E0B95">
        <w:t xml:space="preserve">. </w:t>
      </w:r>
    </w:p>
    <w:p w:rsidR="0070753C" w:rsidRDefault="003769D6" w:rsidP="0070753C">
      <w:r w:rsidRPr="007E0B95">
        <w:t xml:space="preserve">Hemmaboendet bland unga vuxna är som mest utbrett framförallt i kranskommuner med höga medelinkomster. I dessa kommuner, till exempel Härryda utanför Göteborg, har man som </w:t>
      </w:r>
      <w:r w:rsidRPr="007E0B95">
        <w:lastRenderedPageBreak/>
        <w:t xml:space="preserve">hemmaboende tillgång till Göteborgs utbud och möjligheter, samtidigt som man ofta har föräldrar med god ekonomi som bor i villor eller radhus där man kan utvidga </w:t>
      </w:r>
      <w:r w:rsidR="00E55009" w:rsidRPr="007E0B95">
        <w:t>barndoms</w:t>
      </w:r>
      <w:r w:rsidRPr="007E0B95">
        <w:t>rummet till ett halvt källarplan eller liknande. I storstadskommunerna innanför kranskommunerna – som Göteborg – är familjerna typiskt sätt yngre och man har inte vuxna barn i samma utsträckning som i kranskommunerna. Möjligheterna att på ett bra sätt anpassa boendet efter ytterligare en vuxen är också mindre i en lägenhet än i en villa.</w:t>
      </w:r>
      <w:r w:rsidR="000879AB" w:rsidRPr="007E0B95">
        <w:t xml:space="preserve"> </w:t>
      </w:r>
    </w:p>
    <w:p w:rsidR="00984535" w:rsidRDefault="00984535" w:rsidP="00984535">
      <w:pPr>
        <w:pStyle w:val="Ingetavstnd"/>
      </w:pPr>
    </w:p>
    <w:p w:rsidR="00984535" w:rsidRPr="00984535" w:rsidRDefault="00984535" w:rsidP="00984535">
      <w:pPr>
        <w:pStyle w:val="Ingetavstnd"/>
      </w:pPr>
    </w:p>
    <w:p w:rsidR="00723615" w:rsidRPr="00984535" w:rsidRDefault="00984535" w:rsidP="00984535">
      <w:pPr>
        <w:pStyle w:val="Beskrivning"/>
        <w:rPr>
          <w:lang w:val="sv-SE"/>
        </w:rPr>
      </w:pPr>
      <w:r w:rsidRPr="007E0B95">
        <w:rPr>
          <w:lang w:val="sv-SE"/>
        </w:rPr>
        <w:t xml:space="preserve">Figur </w:t>
      </w:r>
      <w:r w:rsidRPr="007E0B95">
        <w:rPr>
          <w:lang w:val="sv-SE"/>
        </w:rPr>
        <w:fldChar w:fldCharType="begin"/>
      </w:r>
      <w:r w:rsidRPr="007E0B95">
        <w:rPr>
          <w:lang w:val="sv-SE"/>
        </w:rPr>
        <w:instrText xml:space="preserve"> SEQ Figur \* ARABIC </w:instrText>
      </w:r>
      <w:r w:rsidRPr="007E0B95">
        <w:rPr>
          <w:lang w:val="sv-SE"/>
        </w:rPr>
        <w:fldChar w:fldCharType="separate"/>
      </w:r>
      <w:r w:rsidR="006450EC">
        <w:rPr>
          <w:noProof/>
          <w:lang w:val="sv-SE"/>
        </w:rPr>
        <w:t>2</w:t>
      </w:r>
      <w:r w:rsidRPr="007E0B95">
        <w:rPr>
          <w:lang w:val="sv-SE"/>
        </w:rPr>
        <w:fldChar w:fldCharType="end"/>
      </w:r>
      <w:r w:rsidRPr="007E0B95">
        <w:rPr>
          <w:lang w:val="sv-SE"/>
        </w:rPr>
        <w:t>, hemmaboende 1998 och 2015 i storgöteborg.</w:t>
      </w:r>
    </w:p>
    <w:tbl>
      <w:tblPr>
        <w:tblStyle w:val="Tabellrutnt"/>
        <w:tblW w:w="9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C12552" w:rsidRPr="007E0B95" w:rsidTr="00C12552">
        <w:tc>
          <w:tcPr>
            <w:tcW w:w="4637" w:type="dxa"/>
          </w:tcPr>
          <w:p w:rsidR="00C12552" w:rsidRPr="007E0B95" w:rsidRDefault="00C12552">
            <w:pPr>
              <w:rPr>
                <w:lang w:val="sv-SE"/>
              </w:rPr>
            </w:pPr>
            <w:r w:rsidRPr="007E0B95">
              <w:rPr>
                <w:lang w:val="sv-SE"/>
              </w:rPr>
              <w:t>1998</w:t>
            </w:r>
          </w:p>
        </w:tc>
        <w:tc>
          <w:tcPr>
            <w:tcW w:w="4536" w:type="dxa"/>
          </w:tcPr>
          <w:p w:rsidR="00C12552" w:rsidRPr="007E0B95" w:rsidRDefault="00C12552">
            <w:pPr>
              <w:rPr>
                <w:lang w:val="sv-SE"/>
              </w:rPr>
            </w:pPr>
            <w:r w:rsidRPr="007E0B95">
              <w:rPr>
                <w:lang w:val="sv-SE"/>
              </w:rPr>
              <w:t>2015</w:t>
            </w:r>
          </w:p>
        </w:tc>
      </w:tr>
      <w:tr w:rsidR="00C12552" w:rsidRPr="007E0B95" w:rsidTr="00C12552">
        <w:tc>
          <w:tcPr>
            <w:tcW w:w="4637" w:type="dxa"/>
          </w:tcPr>
          <w:p w:rsidR="00C12552" w:rsidRPr="007E0B95" w:rsidRDefault="007C6FED" w:rsidP="00073A0B">
            <w:pPr>
              <w:rPr>
                <w:lang w:val="sv-SE"/>
              </w:rPr>
            </w:pPr>
            <w:r w:rsidRPr="007E0B95">
              <w:rPr>
                <w:noProof/>
                <w:lang w:eastAsia="sv-SE"/>
              </w:rPr>
              <w:drawing>
                <wp:inline distT="0" distB="0" distL="0" distR="0" wp14:anchorId="36667870" wp14:editId="142735A9">
                  <wp:extent cx="2838450" cy="414448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ärmklipp 2017-05-01 10.20.39.png"/>
                          <pic:cNvPicPr/>
                        </pic:nvPicPr>
                        <pic:blipFill rotWithShape="1">
                          <a:blip r:embed="rId13">
                            <a:extLst>
                              <a:ext uri="{28A0092B-C50C-407E-A947-70E740481C1C}">
                                <a14:useLocalDpi xmlns:a14="http://schemas.microsoft.com/office/drawing/2010/main" val="0"/>
                              </a:ext>
                            </a:extLst>
                          </a:blip>
                          <a:srcRect l="34060" t="16755" r="38989" b="13287"/>
                          <a:stretch/>
                        </pic:blipFill>
                        <pic:spPr bwMode="auto">
                          <a:xfrm>
                            <a:off x="0" y="0"/>
                            <a:ext cx="2844294" cy="415301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C12552" w:rsidRPr="007E0B95" w:rsidRDefault="007C6FED" w:rsidP="00D02960">
            <w:pPr>
              <w:rPr>
                <w:lang w:val="sv-SE"/>
              </w:rPr>
            </w:pPr>
            <w:r w:rsidRPr="007E0B95">
              <w:rPr>
                <w:noProof/>
                <w:lang w:eastAsia="sv-SE"/>
              </w:rPr>
              <w:drawing>
                <wp:anchor distT="0" distB="0" distL="114300" distR="114300" simplePos="0" relativeHeight="251620352" behindDoc="0" locked="0" layoutInCell="1" allowOverlap="1" wp14:anchorId="3F42471F" wp14:editId="6CAF48F9">
                  <wp:simplePos x="0" y="0"/>
                  <wp:positionH relativeFrom="column">
                    <wp:posOffset>-459740</wp:posOffset>
                  </wp:positionH>
                  <wp:positionV relativeFrom="paragraph">
                    <wp:posOffset>3225165</wp:posOffset>
                  </wp:positionV>
                  <wp:extent cx="665018" cy="905457"/>
                  <wp:effectExtent l="0" t="0" r="190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ärmklipp 2017-04-26 10.23.50.png"/>
                          <pic:cNvPicPr/>
                        </pic:nvPicPr>
                        <pic:blipFill rotWithShape="1">
                          <a:blip r:embed="rId14">
                            <a:extLst>
                              <a:ext uri="{28A0092B-C50C-407E-A947-70E740481C1C}">
                                <a14:useLocalDpi xmlns:a14="http://schemas.microsoft.com/office/drawing/2010/main" val="0"/>
                              </a:ext>
                            </a:extLst>
                          </a:blip>
                          <a:srcRect l="3156" t="8254" r="94367" b="87320"/>
                          <a:stretch/>
                        </pic:blipFill>
                        <pic:spPr bwMode="auto">
                          <a:xfrm>
                            <a:off x="0" y="0"/>
                            <a:ext cx="665018" cy="905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0B95">
              <w:rPr>
                <w:noProof/>
                <w:lang w:eastAsia="sv-SE"/>
              </w:rPr>
              <w:drawing>
                <wp:inline distT="0" distB="0" distL="0" distR="0" wp14:anchorId="1B8F7B0F" wp14:editId="6A70B900">
                  <wp:extent cx="2837689" cy="41433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ärmklipp 2017-05-01 10.21.18.png"/>
                          <pic:cNvPicPr/>
                        </pic:nvPicPr>
                        <pic:blipFill rotWithShape="1">
                          <a:blip r:embed="rId15">
                            <a:extLst>
                              <a:ext uri="{28A0092B-C50C-407E-A947-70E740481C1C}">
                                <a14:useLocalDpi xmlns:a14="http://schemas.microsoft.com/office/drawing/2010/main" val="0"/>
                              </a:ext>
                            </a:extLst>
                          </a:blip>
                          <a:srcRect l="34226" t="16755" r="38823" b="13286"/>
                          <a:stretch/>
                        </pic:blipFill>
                        <pic:spPr bwMode="auto">
                          <a:xfrm>
                            <a:off x="0" y="0"/>
                            <a:ext cx="2845608" cy="4154938"/>
                          </a:xfrm>
                          <a:prstGeom prst="rect">
                            <a:avLst/>
                          </a:prstGeom>
                          <a:ln>
                            <a:noFill/>
                          </a:ln>
                          <a:extLst>
                            <a:ext uri="{53640926-AAD7-44D8-BBD7-CCE9431645EC}">
                              <a14:shadowObscured xmlns:a14="http://schemas.microsoft.com/office/drawing/2010/main"/>
                            </a:ext>
                          </a:extLst>
                        </pic:spPr>
                      </pic:pic>
                    </a:graphicData>
                  </a:graphic>
                </wp:inline>
              </w:drawing>
            </w:r>
          </w:p>
        </w:tc>
      </w:tr>
    </w:tbl>
    <w:p w:rsidR="00712D4D" w:rsidRPr="007E0B95" w:rsidRDefault="00712D4D" w:rsidP="00D02960">
      <w:pPr>
        <w:pStyle w:val="Beskrivning"/>
        <w:rPr>
          <w:lang w:val="sv-SE"/>
        </w:rPr>
      </w:pPr>
    </w:p>
    <w:p w:rsidR="009101E5" w:rsidRPr="007E0B95" w:rsidRDefault="009101E5">
      <w:pPr>
        <w:spacing w:after="160" w:line="259" w:lineRule="auto"/>
        <w:ind w:firstLine="0"/>
        <w:jc w:val="left"/>
        <w:rPr>
          <w:rFonts w:asciiTheme="minorHAnsi" w:eastAsiaTheme="majorEastAsia" w:hAnsiTheme="minorHAnsi" w:cstheme="majorBidi"/>
          <w:color w:val="C00000"/>
          <w:sz w:val="32"/>
          <w:szCs w:val="26"/>
        </w:rPr>
      </w:pPr>
      <w:r w:rsidRPr="007E0B95">
        <w:br w:type="page"/>
      </w:r>
    </w:p>
    <w:p w:rsidR="00C951EA" w:rsidRPr="00BC18AC" w:rsidRDefault="00C951EA">
      <w:pPr>
        <w:pStyle w:val="Rubrik2"/>
        <w:rPr>
          <w:rFonts w:ascii="Arial" w:hAnsi="Arial" w:cs="Arial"/>
          <w:b/>
          <w:szCs w:val="32"/>
        </w:rPr>
      </w:pPr>
      <w:bookmarkStart w:id="7" w:name="_Toc481738287"/>
      <w:r w:rsidRPr="00BC18AC">
        <w:rPr>
          <w:rFonts w:ascii="Arial" w:hAnsi="Arial" w:cs="Arial"/>
          <w:b/>
          <w:szCs w:val="32"/>
        </w:rPr>
        <w:lastRenderedPageBreak/>
        <w:t>Hyresrätten populär som första boendeform</w:t>
      </w:r>
      <w:bookmarkEnd w:id="7"/>
    </w:p>
    <w:p w:rsidR="00C951EA" w:rsidRPr="007E0B95" w:rsidRDefault="00C951EA" w:rsidP="00D02960">
      <w:r w:rsidRPr="007E0B95">
        <w:t xml:space="preserve">Bland dem som är ofrivilligt hemmaboende </w:t>
      </w:r>
      <w:r w:rsidR="00A020FB" w:rsidRPr="007E0B95">
        <w:t xml:space="preserve">i </w:t>
      </w:r>
      <w:r w:rsidR="00C67C7A" w:rsidRPr="007E0B95">
        <w:t>Storgöteborg</w:t>
      </w:r>
      <w:r w:rsidR="00A020FB" w:rsidRPr="007E0B95">
        <w:t xml:space="preserve"> </w:t>
      </w:r>
      <w:r w:rsidRPr="007E0B95">
        <w:t xml:space="preserve">är </w:t>
      </w:r>
      <w:r w:rsidR="001B3F49" w:rsidRPr="007E0B95">
        <w:t>bostadsrätten</w:t>
      </w:r>
      <w:r w:rsidRPr="007E0B95">
        <w:t xml:space="preserve"> den mest populära boendeformen. </w:t>
      </w:r>
      <w:r w:rsidR="00A020FB" w:rsidRPr="007E0B95">
        <w:t xml:space="preserve">Drygt </w:t>
      </w:r>
      <w:r w:rsidR="001B3F49" w:rsidRPr="007E0B95">
        <w:t>40</w:t>
      </w:r>
      <w:r w:rsidR="0000619A" w:rsidRPr="007E0B95">
        <w:t xml:space="preserve"> procent</w:t>
      </w:r>
      <w:r w:rsidRPr="007E0B95">
        <w:t xml:space="preserve"> föredrar att flytta till en </w:t>
      </w:r>
      <w:r w:rsidR="001B3F49" w:rsidRPr="007E0B95">
        <w:t>bostadsrätt</w:t>
      </w:r>
      <w:r w:rsidRPr="007E0B95">
        <w:t xml:space="preserve"> som första bostad utanför föräldrahemmet, se figur </w:t>
      </w:r>
      <w:r w:rsidR="00A020FB" w:rsidRPr="007E0B95">
        <w:t>3</w:t>
      </w:r>
      <w:r w:rsidRPr="007E0B95">
        <w:t xml:space="preserve">. Därefter följer </w:t>
      </w:r>
      <w:r w:rsidR="001B3F49" w:rsidRPr="007E0B95">
        <w:t>hyresrätten</w:t>
      </w:r>
      <w:r w:rsidRPr="007E0B95">
        <w:t xml:space="preserve"> på </w:t>
      </w:r>
      <w:r w:rsidR="00A020FB" w:rsidRPr="007E0B95">
        <w:t>drygt 3</w:t>
      </w:r>
      <w:r w:rsidR="001B3F49" w:rsidRPr="007E0B95">
        <w:t>2</w:t>
      </w:r>
      <w:r w:rsidR="0000619A" w:rsidRPr="007E0B95">
        <w:t xml:space="preserve"> procent</w:t>
      </w:r>
      <w:r w:rsidRPr="007E0B95">
        <w:t xml:space="preserve"> och efter det är det ett större g</w:t>
      </w:r>
      <w:r w:rsidR="00FC2FDB" w:rsidRPr="007E0B95">
        <w:t>a</w:t>
      </w:r>
      <w:r w:rsidR="007437A9" w:rsidRPr="007E0B95">
        <w:t>p</w:t>
      </w:r>
      <w:r w:rsidRPr="007E0B95">
        <w:t xml:space="preserve"> ned till hus/radhus som föredras av </w:t>
      </w:r>
      <w:r w:rsidR="00A020FB" w:rsidRPr="007E0B95">
        <w:t>knappt 2</w:t>
      </w:r>
      <w:r w:rsidR="001B3F49" w:rsidRPr="007E0B95">
        <w:t>1</w:t>
      </w:r>
      <w:r w:rsidR="0000619A" w:rsidRPr="007E0B95">
        <w:t xml:space="preserve"> procent</w:t>
      </w:r>
      <w:r w:rsidRPr="007E0B95">
        <w:t>.</w:t>
      </w:r>
    </w:p>
    <w:p w:rsidR="002E0E6A" w:rsidRPr="007E0B95" w:rsidRDefault="002E0E6A" w:rsidP="00D02960">
      <w:pPr>
        <w:pStyle w:val="Beskrivning"/>
        <w:rPr>
          <w:sz w:val="18"/>
          <w:lang w:val="sv-SE"/>
        </w:rPr>
      </w:pPr>
      <w:r w:rsidRPr="007E0B95">
        <w:rPr>
          <w:noProof/>
          <w:lang w:val="sv-SE" w:eastAsia="sv-SE"/>
        </w:rPr>
        <w:drawing>
          <wp:inline distT="0" distB="0" distL="0" distR="0" wp14:anchorId="01762AF1" wp14:editId="2D5A0F48">
            <wp:extent cx="5040000" cy="2880000"/>
            <wp:effectExtent l="0" t="0" r="8255" b="0"/>
            <wp:docPr id="8"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D23D48-BCAE-4293-AC03-11798D9EF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51EA" w:rsidRPr="007E0B95" w:rsidRDefault="00C951EA">
      <w:pPr>
        <w:pStyle w:val="Beskrivning"/>
        <w:rPr>
          <w:lang w:val="sv-SE" w:eastAsia="sv-SE"/>
        </w:rPr>
      </w:pPr>
      <w:r w:rsidRPr="007E0B95">
        <w:rPr>
          <w:lang w:val="sv-SE"/>
        </w:rPr>
        <w:t xml:space="preserve">Figur </w:t>
      </w:r>
      <w:r w:rsidRPr="007E0B95">
        <w:rPr>
          <w:lang w:val="sv-SE"/>
        </w:rPr>
        <w:fldChar w:fldCharType="begin"/>
      </w:r>
      <w:r w:rsidRPr="007E0B95">
        <w:rPr>
          <w:lang w:val="sv-SE"/>
        </w:rPr>
        <w:instrText xml:space="preserve"> SEQ Figur \* ARABIC </w:instrText>
      </w:r>
      <w:r w:rsidRPr="007E0B95">
        <w:rPr>
          <w:lang w:val="sv-SE"/>
        </w:rPr>
        <w:fldChar w:fldCharType="separate"/>
      </w:r>
      <w:r w:rsidR="006450EC">
        <w:rPr>
          <w:noProof/>
          <w:lang w:val="sv-SE"/>
        </w:rPr>
        <w:t>3</w:t>
      </w:r>
      <w:r w:rsidRPr="007E0B95">
        <w:rPr>
          <w:lang w:val="sv-SE"/>
        </w:rPr>
        <w:fldChar w:fldCharType="end"/>
      </w:r>
      <w:r w:rsidRPr="007E0B95">
        <w:rPr>
          <w:lang w:val="sv-SE"/>
        </w:rPr>
        <w:t>, önskad boendeform för ofrivilligt hemmaboende</w:t>
      </w:r>
      <w:r w:rsidR="00A020FB" w:rsidRPr="007E0B95">
        <w:rPr>
          <w:lang w:val="sv-SE"/>
        </w:rPr>
        <w:t xml:space="preserve">, </w:t>
      </w:r>
      <w:r w:rsidR="007C7B88" w:rsidRPr="007E0B95">
        <w:rPr>
          <w:lang w:val="sv-SE"/>
        </w:rPr>
        <w:t>storgöteborg</w:t>
      </w:r>
      <w:r w:rsidR="00271676" w:rsidRPr="007E0B95">
        <w:rPr>
          <w:lang w:val="sv-SE"/>
        </w:rPr>
        <w:t>.</w:t>
      </w:r>
    </w:p>
    <w:p w:rsidR="000F36A0" w:rsidRDefault="000F36A0" w:rsidP="000F36A0">
      <w:r>
        <w:t>Boendepreferenserna för unga vuxna i Storgöteborg avviker från mönstret på riksnivå, där hyresrätten är den populäraste boendeformen bland dem som fortfarande bor hemma. Siffrorna bör dock förses med reservationer, då det är troligt att svårigheterna att</w:t>
      </w:r>
      <w:r w:rsidR="004E66D5">
        <w:t xml:space="preserve"> få en hyresrätt </w:t>
      </w:r>
      <w:r>
        <w:t xml:space="preserve"> smittar av sig på hyresrättens popularitet, så att andelarna ovan till viss del inkluderar vad man tror sig kunna få för första boende.</w:t>
      </w:r>
    </w:p>
    <w:p w:rsidR="00C951EA" w:rsidRPr="007E0B95" w:rsidRDefault="000F36A0" w:rsidP="000F36A0">
      <w:r>
        <w:t xml:space="preserve">Man kan konstatera att hyresrätten som boendeform trots allt är populär bland unga vuxna. </w:t>
      </w:r>
      <w:r w:rsidR="00C951EA" w:rsidRPr="007E0B95">
        <w:t>Dess attraktivitet – i form av kombinationen av flexibilitet och trygghet och ett riskfritt boende som inte bygger på ekonomisk spekulation – slår alltså igenom trots att hyresrätten som upplåtelseform är skattemässigt förfördelad i förhållande till de ägda boendena</w:t>
      </w:r>
      <w:r w:rsidR="00AE2A69" w:rsidRPr="007E0B95">
        <w:t xml:space="preserve"> </w:t>
      </w:r>
      <w:r w:rsidR="00AE2A69" w:rsidRPr="007E0B95">
        <w:fldChar w:fldCharType="begin"/>
      </w:r>
      <w:r w:rsidR="00AE2A69" w:rsidRPr="007E0B95">
        <w:instrText xml:space="preserve"> ADDIN ZOTERO_ITEM CSL_CITATION {"citationID":"c9ur65f0v","properties":{"formattedCitation":"{\\rtf (Elmgren, Bj\\uc0\\u246{}rkvald, &amp; Svanberg, 2017)}","plainCitation":"(Elmgren, Björkvald, &amp; Svanberg, 2017)"},"citationItems":[{"id":1257,"uris":["http://zotero.org/users/3218498/items/Q4PQ7769"],"uri":["http://zotero.org/users/3218498/items/Q4PQ7769"],"itemData":{"id":1257,"type":"article","title":"Nyproduktion och renoveringar av hyresrätter - en för lönsam affär?","publisher":"Hyresgästföreningen","author":[{"family":"Elmgren","given":"E."},{"family":"Björkvald","given":"M."},{"family":"Svanberg","given":"P."}],"issued":{"date-parts":[["2017"]]}}}],"schema":"https://github.com/citation-style-language/schema/raw/master/csl-citation.json"} </w:instrText>
      </w:r>
      <w:r w:rsidR="00AE2A69" w:rsidRPr="007E0B95">
        <w:fldChar w:fldCharType="separate"/>
      </w:r>
      <w:r w:rsidR="00AE2A69" w:rsidRPr="007E0B95">
        <w:rPr>
          <w:rFonts w:cs="Times New Roman"/>
          <w:szCs w:val="24"/>
        </w:rPr>
        <w:t>(Elmgren, Björkvald, &amp; Svanberg, 2017)</w:t>
      </w:r>
      <w:r w:rsidR="00AE2A69" w:rsidRPr="007E0B95">
        <w:fldChar w:fldCharType="end"/>
      </w:r>
      <w:r w:rsidR="00AE2A69" w:rsidRPr="007E0B95">
        <w:t xml:space="preserve"> </w:t>
      </w:r>
      <w:r w:rsidR="00C951EA" w:rsidRPr="007E0B95">
        <w:t>och trots att kommunerna enligt vad de själva rapporterar inte förvaltar sitt hyresbestånd ordentligt genom nybyggnation av hyresrätter med rimlig hyra</w:t>
      </w:r>
      <w:r w:rsidR="003A2391" w:rsidRPr="007E0B95">
        <w:t xml:space="preserve"> </w:t>
      </w:r>
      <w:r w:rsidR="003A2391" w:rsidRPr="007E0B95">
        <w:fldChar w:fldCharType="begin"/>
      </w:r>
      <w:r w:rsidR="00AE2A69" w:rsidRPr="007E0B95">
        <w:instrText xml:space="preserve"> ADDIN ZOTERO_ITEM CSL_CITATION {"citationID":"2mf0uu74rk","properties":{"formattedCitation":"(Boverket, 2016)","plainCitation":"(Boverket, 2016)"},"citationItems":[{"id":1256,"uris":["http://zotero.org/users/3218498/items/MNCPSN6F"],"uri":["http://zotero.org/users/3218498/items/MNCPSN6F"],"itemData":{"id":1256,"type":"article","title":"Boverkets bostadsmarknadsenkät","publisher":"Boverket","URL":"http://www.boverket.se/sv/om-boverket/publicerat-av-boverket/oppna-data/","author":[{"family":"Boverket","given":""}],"issued":{"date-parts":[["2016"]]},"accessed":{"date-parts":[["2017",5,2]]}}}],"schema":"https://github.com/citation-style-language/schema/raw/master/csl-citation.json"} </w:instrText>
      </w:r>
      <w:r w:rsidR="003A2391" w:rsidRPr="007E0B95">
        <w:fldChar w:fldCharType="separate"/>
      </w:r>
      <w:r w:rsidR="003A2391" w:rsidRPr="007E0B95">
        <w:rPr>
          <w:rFonts w:cs="Times New Roman"/>
        </w:rPr>
        <w:t>(Boverket, 2016)</w:t>
      </w:r>
      <w:r w:rsidR="003A2391" w:rsidRPr="007E0B95">
        <w:fldChar w:fldCharType="end"/>
      </w:r>
      <w:r w:rsidR="00C951EA" w:rsidRPr="007E0B95">
        <w:t>.</w:t>
      </w:r>
    </w:p>
    <w:p w:rsidR="00C951EA" w:rsidRPr="00BC18AC" w:rsidRDefault="00C951EA">
      <w:pPr>
        <w:pStyle w:val="Rubrik2"/>
        <w:rPr>
          <w:rFonts w:ascii="Arial" w:hAnsi="Arial" w:cs="Arial"/>
          <w:b/>
        </w:rPr>
      </w:pPr>
      <w:bookmarkStart w:id="8" w:name="_Toc481738288"/>
      <w:r w:rsidRPr="00BC18AC">
        <w:rPr>
          <w:rFonts w:ascii="Arial" w:hAnsi="Arial" w:cs="Arial"/>
          <w:b/>
        </w:rPr>
        <w:t>Hemmaboendets ekonomi – halvvägs till eget ansvar</w:t>
      </w:r>
      <w:bookmarkEnd w:id="8"/>
    </w:p>
    <w:p w:rsidR="00C951EA" w:rsidRPr="007E0B95" w:rsidRDefault="00C951EA" w:rsidP="00D02960">
      <w:r w:rsidRPr="007E0B95">
        <w:t>När man bor kvar hemma har man i de flesta fall inte en självständig ekonomi</w:t>
      </w:r>
      <w:r w:rsidR="00C4245F" w:rsidRPr="007E0B95">
        <w:t xml:space="preserve">. </w:t>
      </w:r>
      <w:r w:rsidR="0063110A" w:rsidRPr="007E0B95">
        <w:t>47,7</w:t>
      </w:r>
      <w:r w:rsidR="0000619A" w:rsidRPr="007E0B95">
        <w:t xml:space="preserve"> procent</w:t>
      </w:r>
      <w:r w:rsidRPr="007E0B95">
        <w:t xml:space="preserve"> av de hemmaboende</w:t>
      </w:r>
      <w:r w:rsidR="00C4245F" w:rsidRPr="007E0B95">
        <w:t xml:space="preserve"> i </w:t>
      </w:r>
      <w:r w:rsidR="0063110A" w:rsidRPr="007E0B95">
        <w:t>Storgöteborg</w:t>
      </w:r>
      <w:r w:rsidRPr="007E0B95">
        <w:t xml:space="preserve"> betalar inget alls i hyra, </w:t>
      </w:r>
      <w:r w:rsidR="0063110A" w:rsidRPr="007E0B95">
        <w:t>och median boendekostnaden är endast 800 kronor.</w:t>
      </w:r>
      <w:r w:rsidRPr="007E0B95">
        <w:t xml:space="preserve"> Medelboendekostnaden är på 1 </w:t>
      </w:r>
      <w:r w:rsidR="00C4245F" w:rsidRPr="007E0B95">
        <w:t>3</w:t>
      </w:r>
      <w:r w:rsidR="0063110A" w:rsidRPr="007E0B95">
        <w:t>76</w:t>
      </w:r>
      <w:r w:rsidRPr="007E0B95">
        <w:t xml:space="preserve"> kronor. </w:t>
      </w:r>
      <w:r w:rsidR="00E55009" w:rsidRPr="007E0B95">
        <w:t>Tittar vi på bara dem som betalar för sitt boende</w:t>
      </w:r>
      <w:r w:rsidR="00C4245F" w:rsidRPr="007E0B95">
        <w:t xml:space="preserve"> är siffrorna</w:t>
      </w:r>
      <w:r w:rsidR="00E55009" w:rsidRPr="007E0B95">
        <w:t xml:space="preserve"> också</w:t>
      </w:r>
      <w:r w:rsidR="00C4245F" w:rsidRPr="007E0B95">
        <w:t xml:space="preserve"> ganska låga: </w:t>
      </w:r>
      <w:r w:rsidR="0063110A" w:rsidRPr="007E0B95">
        <w:t>2 500</w:t>
      </w:r>
      <w:r w:rsidRPr="007E0B95">
        <w:t xml:space="preserve">, respektive </w:t>
      </w:r>
      <w:r w:rsidR="00C4245F" w:rsidRPr="007E0B95">
        <w:t xml:space="preserve">2 </w:t>
      </w:r>
      <w:r w:rsidR="0063110A" w:rsidRPr="007E0B95">
        <w:t>631</w:t>
      </w:r>
      <w:r w:rsidRPr="007E0B95">
        <w:t xml:space="preserve"> kronor, se tabell 3.</w:t>
      </w:r>
    </w:p>
    <w:p w:rsidR="00C951EA" w:rsidRPr="007E0B95" w:rsidRDefault="00C951EA" w:rsidP="00D02960">
      <w:pPr>
        <w:pStyle w:val="Grundtextindrag"/>
        <w:rPr>
          <w:lang w:eastAsia="sv-SE"/>
        </w:rPr>
      </w:pPr>
    </w:p>
    <w:p w:rsidR="00C951EA" w:rsidRPr="007E0B95" w:rsidRDefault="00C951EA" w:rsidP="00D02960">
      <w:pPr>
        <w:pStyle w:val="Beskrivning"/>
        <w:ind w:firstLine="0"/>
        <w:rPr>
          <w:lang w:val="sv-SE"/>
        </w:rPr>
      </w:pPr>
      <w:r w:rsidRPr="007E0B95">
        <w:rPr>
          <w:lang w:val="sv-SE"/>
        </w:rPr>
        <w:t xml:space="preserve">Tabell </w:t>
      </w:r>
      <w:r w:rsidR="000B157D" w:rsidRPr="007E0B95">
        <w:rPr>
          <w:lang w:val="sv-SE"/>
        </w:rPr>
        <w:fldChar w:fldCharType="begin"/>
      </w:r>
      <w:r w:rsidR="000B157D" w:rsidRPr="007E0B95">
        <w:rPr>
          <w:lang w:val="sv-SE"/>
        </w:rPr>
        <w:instrText xml:space="preserve"> SEQ Tabell \* ARABIC </w:instrText>
      </w:r>
      <w:r w:rsidR="000B157D" w:rsidRPr="007E0B95">
        <w:rPr>
          <w:lang w:val="sv-SE"/>
        </w:rPr>
        <w:fldChar w:fldCharType="separate"/>
      </w:r>
      <w:r w:rsidR="006450EC">
        <w:rPr>
          <w:noProof/>
          <w:lang w:val="sv-SE"/>
        </w:rPr>
        <w:t>3</w:t>
      </w:r>
      <w:r w:rsidR="000B157D" w:rsidRPr="007E0B95">
        <w:rPr>
          <w:lang w:val="sv-SE"/>
        </w:rPr>
        <w:fldChar w:fldCharType="end"/>
      </w:r>
      <w:r w:rsidRPr="007E0B95">
        <w:rPr>
          <w:lang w:val="sv-SE"/>
        </w:rPr>
        <w:t xml:space="preserve">, </w:t>
      </w:r>
      <w:r w:rsidR="00271676" w:rsidRPr="007E0B95">
        <w:rPr>
          <w:lang w:val="sv-SE"/>
        </w:rPr>
        <w:t xml:space="preserve">boendekostnad för hemmaboende i </w:t>
      </w:r>
      <w:r w:rsidR="007C7B88" w:rsidRPr="007E0B95">
        <w:rPr>
          <w:lang w:val="sv-SE"/>
        </w:rPr>
        <w:t>storgöteborg</w:t>
      </w:r>
      <w:r w:rsidR="00271676" w:rsidRPr="007E0B95">
        <w:rPr>
          <w:lang w:val="sv-SE"/>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3307"/>
      </w:tblGrid>
      <w:tr w:rsidR="00446788" w:rsidRPr="007E0B95" w:rsidTr="00446788">
        <w:trPr>
          <w:trHeight w:val="300"/>
        </w:trPr>
        <w:tc>
          <w:tcPr>
            <w:tcW w:w="0" w:type="auto"/>
            <w:tcBorders>
              <w:top w:val="single" w:sz="4" w:space="0" w:color="auto"/>
            </w:tcBorders>
            <w:vAlign w:val="center"/>
          </w:tcPr>
          <w:p w:rsidR="00C951EA" w:rsidRPr="007E0B95" w:rsidRDefault="00C951EA" w:rsidP="00073A0B">
            <w:pPr>
              <w:ind w:firstLine="0"/>
              <w:jc w:val="left"/>
              <w:rPr>
                <w:rFonts w:eastAsia="Times New Roman"/>
                <w:lang w:val="sv-SE"/>
              </w:rPr>
            </w:pPr>
            <w:r w:rsidRPr="007E0B95">
              <w:rPr>
                <w:rFonts w:eastAsia="Times New Roman"/>
                <w:lang w:val="sv-SE"/>
              </w:rPr>
              <w:t>Andel som betalar hemma</w:t>
            </w:r>
          </w:p>
        </w:tc>
        <w:tc>
          <w:tcPr>
            <w:tcW w:w="3307" w:type="dxa"/>
            <w:tcBorders>
              <w:top w:val="single" w:sz="4" w:space="0" w:color="auto"/>
            </w:tcBorders>
            <w:vAlign w:val="center"/>
          </w:tcPr>
          <w:p w:rsidR="00C951EA" w:rsidRPr="007E0B95" w:rsidRDefault="0063110A" w:rsidP="007E0B95">
            <w:pPr>
              <w:rPr>
                <w:rFonts w:eastAsia="Times New Roman"/>
                <w:lang w:val="sv-SE"/>
              </w:rPr>
            </w:pPr>
            <w:r w:rsidRPr="007E0B95">
              <w:rPr>
                <w:rFonts w:eastAsia="Times New Roman"/>
                <w:lang w:val="sv-SE"/>
              </w:rPr>
              <w:t>52</w:t>
            </w:r>
            <w:r w:rsidR="00C951EA" w:rsidRPr="007E0B95">
              <w:rPr>
                <w:rFonts w:eastAsia="Times New Roman"/>
                <w:lang w:val="sv-SE"/>
              </w:rPr>
              <w:t>,</w:t>
            </w:r>
            <w:r w:rsidR="00C4245F" w:rsidRPr="007E0B95">
              <w:rPr>
                <w:rFonts w:eastAsia="Times New Roman"/>
                <w:lang w:val="sv-SE"/>
              </w:rPr>
              <w:t>3</w:t>
            </w:r>
            <w:r w:rsidR="0000619A" w:rsidRPr="007E0B95">
              <w:rPr>
                <w:rFonts w:eastAsia="Times New Roman"/>
                <w:lang w:val="sv-SE"/>
              </w:rPr>
              <w:t xml:space="preserve"> </w:t>
            </w:r>
            <w:r w:rsidR="007E0B95" w:rsidRPr="007E0B95">
              <w:rPr>
                <w:rFonts w:eastAsia="Times New Roman"/>
                <w:lang w:val="sv-SE"/>
              </w:rPr>
              <w:t>%</w:t>
            </w:r>
          </w:p>
        </w:tc>
      </w:tr>
      <w:tr w:rsidR="00446788" w:rsidRPr="007E0B95" w:rsidTr="00446788">
        <w:trPr>
          <w:trHeight w:val="300"/>
        </w:trPr>
        <w:tc>
          <w:tcPr>
            <w:tcW w:w="0" w:type="auto"/>
            <w:vAlign w:val="center"/>
          </w:tcPr>
          <w:p w:rsidR="00C951EA" w:rsidRPr="007E0B95" w:rsidRDefault="00C951EA" w:rsidP="00073A0B">
            <w:pPr>
              <w:ind w:firstLine="0"/>
              <w:jc w:val="left"/>
              <w:rPr>
                <w:rFonts w:eastAsia="Times New Roman"/>
                <w:lang w:val="sv-SE"/>
              </w:rPr>
            </w:pPr>
            <w:r w:rsidRPr="007E0B95">
              <w:rPr>
                <w:rFonts w:eastAsia="Times New Roman"/>
                <w:lang w:val="sv-SE"/>
              </w:rPr>
              <w:t>Medianboendekostnad för alla hemmaboende</w:t>
            </w:r>
          </w:p>
        </w:tc>
        <w:tc>
          <w:tcPr>
            <w:tcW w:w="3307" w:type="dxa"/>
            <w:vAlign w:val="center"/>
          </w:tcPr>
          <w:p w:rsidR="00C951EA" w:rsidRPr="007E0B95" w:rsidRDefault="0063110A" w:rsidP="00D02960">
            <w:pPr>
              <w:rPr>
                <w:rFonts w:eastAsia="Times New Roman"/>
                <w:lang w:val="sv-SE"/>
              </w:rPr>
            </w:pPr>
            <w:r w:rsidRPr="007E0B95">
              <w:rPr>
                <w:rFonts w:eastAsia="Times New Roman"/>
                <w:lang w:val="sv-SE"/>
              </w:rPr>
              <w:t>800</w:t>
            </w:r>
          </w:p>
        </w:tc>
      </w:tr>
      <w:tr w:rsidR="00446788" w:rsidRPr="007E0B95" w:rsidTr="00446788">
        <w:trPr>
          <w:trHeight w:val="300"/>
        </w:trPr>
        <w:tc>
          <w:tcPr>
            <w:tcW w:w="0" w:type="auto"/>
            <w:vAlign w:val="center"/>
          </w:tcPr>
          <w:p w:rsidR="00C951EA" w:rsidRPr="007E0B95" w:rsidRDefault="00C951EA" w:rsidP="00073A0B">
            <w:pPr>
              <w:ind w:firstLine="0"/>
              <w:jc w:val="left"/>
              <w:rPr>
                <w:rFonts w:eastAsia="Times New Roman"/>
                <w:lang w:val="sv-SE"/>
              </w:rPr>
            </w:pPr>
            <w:r w:rsidRPr="007E0B95">
              <w:rPr>
                <w:rFonts w:eastAsia="Times New Roman"/>
                <w:lang w:val="sv-SE"/>
              </w:rPr>
              <w:t>Medelboendekostnad för alla hemmaboende</w:t>
            </w:r>
          </w:p>
        </w:tc>
        <w:tc>
          <w:tcPr>
            <w:tcW w:w="3307" w:type="dxa"/>
            <w:vAlign w:val="center"/>
          </w:tcPr>
          <w:p w:rsidR="00C951EA" w:rsidRPr="007E0B95" w:rsidRDefault="00C4245F" w:rsidP="00D02960">
            <w:pPr>
              <w:rPr>
                <w:rFonts w:eastAsia="Times New Roman"/>
                <w:szCs w:val="24"/>
                <w:lang w:val="sv-SE"/>
              </w:rPr>
            </w:pPr>
            <w:r w:rsidRPr="007E0B95">
              <w:rPr>
                <w:lang w:val="sv-SE"/>
              </w:rPr>
              <w:t>1</w:t>
            </w:r>
            <w:r w:rsidR="0063110A" w:rsidRPr="007E0B95">
              <w:rPr>
                <w:lang w:val="sv-SE"/>
              </w:rPr>
              <w:t xml:space="preserve"> </w:t>
            </w:r>
            <w:r w:rsidRPr="007E0B95">
              <w:rPr>
                <w:lang w:val="sv-SE"/>
              </w:rPr>
              <w:t>3</w:t>
            </w:r>
            <w:r w:rsidR="0063110A" w:rsidRPr="007E0B95">
              <w:rPr>
                <w:lang w:val="sv-SE"/>
              </w:rPr>
              <w:t>76</w:t>
            </w:r>
          </w:p>
        </w:tc>
      </w:tr>
      <w:tr w:rsidR="00446788" w:rsidRPr="007E0B95" w:rsidTr="00446788">
        <w:trPr>
          <w:trHeight w:val="300"/>
        </w:trPr>
        <w:tc>
          <w:tcPr>
            <w:tcW w:w="0" w:type="auto"/>
            <w:vAlign w:val="center"/>
          </w:tcPr>
          <w:p w:rsidR="00C951EA" w:rsidRPr="007E0B95" w:rsidRDefault="00C951EA" w:rsidP="00073A0B">
            <w:pPr>
              <w:ind w:firstLine="0"/>
              <w:jc w:val="left"/>
              <w:rPr>
                <w:rFonts w:eastAsia="Times New Roman"/>
                <w:lang w:val="sv-SE"/>
              </w:rPr>
            </w:pPr>
            <w:r w:rsidRPr="007E0B95">
              <w:rPr>
                <w:rFonts w:eastAsia="Times New Roman"/>
                <w:lang w:val="sv-SE"/>
              </w:rPr>
              <w:t>Medianboendekostnad för dem som betalar hemma</w:t>
            </w:r>
          </w:p>
        </w:tc>
        <w:tc>
          <w:tcPr>
            <w:tcW w:w="3307" w:type="dxa"/>
            <w:vAlign w:val="center"/>
          </w:tcPr>
          <w:p w:rsidR="00C951EA" w:rsidRPr="007E0B95" w:rsidRDefault="0063110A" w:rsidP="00D02960">
            <w:pPr>
              <w:rPr>
                <w:rFonts w:eastAsia="Times New Roman"/>
                <w:lang w:val="sv-SE"/>
              </w:rPr>
            </w:pPr>
            <w:r w:rsidRPr="007E0B95">
              <w:rPr>
                <w:rFonts w:eastAsia="Times New Roman"/>
                <w:lang w:val="sv-SE"/>
              </w:rPr>
              <w:t>2 500</w:t>
            </w:r>
          </w:p>
        </w:tc>
      </w:tr>
      <w:tr w:rsidR="00446788" w:rsidRPr="007E0B95" w:rsidTr="00446788">
        <w:trPr>
          <w:trHeight w:val="300"/>
        </w:trPr>
        <w:tc>
          <w:tcPr>
            <w:tcW w:w="0" w:type="auto"/>
            <w:vAlign w:val="center"/>
          </w:tcPr>
          <w:p w:rsidR="00C951EA" w:rsidRPr="007E0B95" w:rsidRDefault="00C951EA" w:rsidP="00073A0B">
            <w:pPr>
              <w:ind w:firstLine="0"/>
              <w:jc w:val="left"/>
              <w:rPr>
                <w:rFonts w:eastAsia="Times New Roman"/>
                <w:lang w:val="sv-SE"/>
              </w:rPr>
            </w:pPr>
            <w:r w:rsidRPr="007E0B95">
              <w:rPr>
                <w:rFonts w:eastAsia="Times New Roman"/>
                <w:lang w:val="sv-SE"/>
              </w:rPr>
              <w:t>Medelboendekostnad för dem som betalar hemma</w:t>
            </w:r>
          </w:p>
        </w:tc>
        <w:tc>
          <w:tcPr>
            <w:tcW w:w="3307" w:type="dxa"/>
            <w:vAlign w:val="center"/>
          </w:tcPr>
          <w:p w:rsidR="00C951EA" w:rsidRPr="007E0B95" w:rsidRDefault="00C951EA" w:rsidP="00D02960">
            <w:pPr>
              <w:rPr>
                <w:rFonts w:eastAsia="Times New Roman"/>
                <w:lang w:val="sv-SE"/>
              </w:rPr>
            </w:pPr>
            <w:r w:rsidRPr="007E0B95">
              <w:rPr>
                <w:rFonts w:eastAsia="Times New Roman"/>
                <w:lang w:val="sv-SE"/>
              </w:rPr>
              <w:t xml:space="preserve">2 </w:t>
            </w:r>
            <w:r w:rsidR="0063110A" w:rsidRPr="007E0B95">
              <w:rPr>
                <w:rFonts w:eastAsia="Times New Roman"/>
                <w:lang w:val="sv-SE"/>
              </w:rPr>
              <w:t>631</w:t>
            </w:r>
          </w:p>
        </w:tc>
      </w:tr>
      <w:tr w:rsidR="00446788" w:rsidRPr="007E0B95" w:rsidTr="00446788">
        <w:trPr>
          <w:trHeight w:val="300"/>
        </w:trPr>
        <w:tc>
          <w:tcPr>
            <w:tcW w:w="0" w:type="auto"/>
            <w:vAlign w:val="center"/>
          </w:tcPr>
          <w:p w:rsidR="00C951EA" w:rsidRPr="007E0B95" w:rsidRDefault="00C951EA" w:rsidP="00073A0B">
            <w:pPr>
              <w:ind w:firstLine="0"/>
              <w:jc w:val="left"/>
              <w:rPr>
                <w:rFonts w:eastAsia="Times New Roman"/>
                <w:lang w:val="sv-SE"/>
              </w:rPr>
            </w:pPr>
            <w:r w:rsidRPr="007E0B95">
              <w:rPr>
                <w:rFonts w:eastAsia="Times New Roman"/>
                <w:lang w:val="sv-SE"/>
              </w:rPr>
              <w:t>Medianinkomst efter boendekostnad</w:t>
            </w:r>
          </w:p>
        </w:tc>
        <w:tc>
          <w:tcPr>
            <w:tcW w:w="3307" w:type="dxa"/>
            <w:vAlign w:val="center"/>
          </w:tcPr>
          <w:p w:rsidR="00C951EA" w:rsidRPr="007E0B95" w:rsidRDefault="00380438" w:rsidP="00D02960">
            <w:pPr>
              <w:rPr>
                <w:rFonts w:eastAsia="Times New Roman"/>
                <w:lang w:val="sv-SE"/>
              </w:rPr>
            </w:pPr>
            <w:r w:rsidRPr="007E0B95">
              <w:rPr>
                <w:rFonts w:eastAsia="Times New Roman"/>
                <w:lang w:val="sv-SE"/>
              </w:rPr>
              <w:t>6 000</w:t>
            </w:r>
          </w:p>
        </w:tc>
      </w:tr>
      <w:tr w:rsidR="00446788" w:rsidRPr="007E0B95" w:rsidTr="00446788">
        <w:trPr>
          <w:trHeight w:val="300"/>
        </w:trPr>
        <w:tc>
          <w:tcPr>
            <w:tcW w:w="0" w:type="auto"/>
            <w:tcBorders>
              <w:bottom w:val="single" w:sz="4" w:space="0" w:color="auto"/>
            </w:tcBorders>
            <w:vAlign w:val="center"/>
          </w:tcPr>
          <w:p w:rsidR="00C951EA" w:rsidRPr="007E0B95" w:rsidRDefault="00C951EA" w:rsidP="00073A0B">
            <w:pPr>
              <w:ind w:firstLine="0"/>
              <w:jc w:val="left"/>
              <w:rPr>
                <w:rFonts w:eastAsia="Times New Roman"/>
                <w:lang w:val="sv-SE"/>
              </w:rPr>
            </w:pPr>
            <w:r w:rsidRPr="007E0B95">
              <w:rPr>
                <w:rFonts w:eastAsia="Times New Roman"/>
                <w:lang w:val="sv-SE"/>
              </w:rPr>
              <w:lastRenderedPageBreak/>
              <w:t>Medelinkomst efter boendekostnad</w:t>
            </w:r>
          </w:p>
        </w:tc>
        <w:tc>
          <w:tcPr>
            <w:tcW w:w="3307" w:type="dxa"/>
            <w:tcBorders>
              <w:bottom w:val="single" w:sz="4" w:space="0" w:color="auto"/>
            </w:tcBorders>
            <w:vAlign w:val="center"/>
          </w:tcPr>
          <w:p w:rsidR="00C951EA" w:rsidRPr="007E0B95" w:rsidRDefault="00380438" w:rsidP="00D02960">
            <w:pPr>
              <w:rPr>
                <w:rFonts w:eastAsia="Times New Roman"/>
                <w:lang w:val="sv-SE"/>
              </w:rPr>
            </w:pPr>
            <w:r w:rsidRPr="007E0B95">
              <w:rPr>
                <w:rFonts w:eastAsia="Times New Roman"/>
                <w:lang w:val="sv-SE"/>
              </w:rPr>
              <w:t>7 756</w:t>
            </w:r>
          </w:p>
        </w:tc>
      </w:tr>
    </w:tbl>
    <w:p w:rsidR="00C951EA" w:rsidRPr="007E0B95" w:rsidRDefault="00C951EA" w:rsidP="00D02960">
      <w:pPr>
        <w:pStyle w:val="Grundtext"/>
        <w:rPr>
          <w:lang w:eastAsia="sv-SE"/>
        </w:rPr>
      </w:pPr>
    </w:p>
    <w:p w:rsidR="00C951EA" w:rsidRPr="007E0B95" w:rsidRDefault="00E55009" w:rsidP="00D02960">
      <w:r w:rsidRPr="007E0B95">
        <w:t>D</w:t>
      </w:r>
      <w:r w:rsidR="00C951EA" w:rsidRPr="007E0B95">
        <w:t xml:space="preserve">e låga kostnaderna </w:t>
      </w:r>
      <w:r w:rsidRPr="007E0B95">
        <w:t xml:space="preserve">motsvaras </w:t>
      </w:r>
      <w:r w:rsidR="00C951EA" w:rsidRPr="007E0B95">
        <w:t>också av låga inkomster</w:t>
      </w:r>
      <w:r w:rsidRPr="007E0B95">
        <w:t>, som framgår av tabell 3</w:t>
      </w:r>
      <w:r w:rsidR="00C951EA" w:rsidRPr="007E0B95">
        <w:t xml:space="preserve">. Hemmaboende har i genomsnitt </w:t>
      </w:r>
      <w:r w:rsidR="001400B0" w:rsidRPr="007E0B95">
        <w:t>7 756</w:t>
      </w:r>
      <w:r w:rsidR="00C951EA" w:rsidRPr="007E0B95">
        <w:t xml:space="preserve"> kronor att röra sig med efter </w:t>
      </w:r>
      <w:r w:rsidR="004E66D5">
        <w:t xml:space="preserve">att </w:t>
      </w:r>
      <w:r w:rsidR="00C951EA" w:rsidRPr="007E0B95">
        <w:t>boendekostnader</w:t>
      </w:r>
      <w:r w:rsidR="004E66D5">
        <w:t>na är betalda</w:t>
      </w:r>
      <w:r w:rsidR="00C951EA" w:rsidRPr="007E0B95">
        <w:t xml:space="preserve">. De flesta </w:t>
      </w:r>
      <w:r w:rsidR="002A56F3" w:rsidRPr="007E0B95">
        <w:t xml:space="preserve">unga vuxna i </w:t>
      </w:r>
      <w:r w:rsidR="001400B0" w:rsidRPr="007E0B95">
        <w:t>Storgöteborg</w:t>
      </w:r>
      <w:r w:rsidR="002A56F3" w:rsidRPr="007E0B95">
        <w:t xml:space="preserve"> </w:t>
      </w:r>
      <w:r w:rsidR="001400B0" w:rsidRPr="007E0B95">
        <w:t>har dock</w:t>
      </w:r>
      <w:r w:rsidR="002A56F3" w:rsidRPr="007E0B95">
        <w:t xml:space="preserve"> </w:t>
      </w:r>
      <w:r w:rsidR="00C951EA" w:rsidRPr="007E0B95">
        <w:t>mindre än så att röra sig med: medianinkomsten efter boendekostnader ligger på</w:t>
      </w:r>
      <w:r w:rsidR="002A56F3" w:rsidRPr="007E0B95">
        <w:t xml:space="preserve"> </w:t>
      </w:r>
      <w:r w:rsidR="001400B0" w:rsidRPr="007E0B95">
        <w:t>6</w:t>
      </w:r>
      <w:r w:rsidR="00C951EA" w:rsidRPr="007E0B95">
        <w:t xml:space="preserve"> 000 kronor. Skillnaden mellan </w:t>
      </w:r>
      <w:r w:rsidR="00446788" w:rsidRPr="007E0B95">
        <w:t>dessa två belopp</w:t>
      </w:r>
      <w:r w:rsidRPr="007E0B95">
        <w:t xml:space="preserve"> </w:t>
      </w:r>
      <w:r w:rsidR="00C951EA" w:rsidRPr="007E0B95">
        <w:t xml:space="preserve">är ett utryck för att några få unga vuxna bland gruppen hemmaboende </w:t>
      </w:r>
      <w:r w:rsidR="002A56F3" w:rsidRPr="007E0B95">
        <w:t xml:space="preserve">i </w:t>
      </w:r>
      <w:r w:rsidR="001400B0" w:rsidRPr="007E0B95">
        <w:t>Storgöteborg</w:t>
      </w:r>
      <w:r w:rsidR="002A56F3" w:rsidRPr="007E0B95">
        <w:t xml:space="preserve"> </w:t>
      </w:r>
      <w:r w:rsidR="00C951EA" w:rsidRPr="007E0B95">
        <w:t xml:space="preserve">har höga inkomster </w:t>
      </w:r>
      <w:r w:rsidR="00446788" w:rsidRPr="007E0B95">
        <w:t xml:space="preserve">efter boendekostnader, </w:t>
      </w:r>
      <w:r w:rsidR="00C951EA" w:rsidRPr="007E0B95">
        <w:t>som drar upp med</w:t>
      </w:r>
      <w:r w:rsidR="00446788" w:rsidRPr="007E0B95">
        <w:t>elvärdet</w:t>
      </w:r>
      <w:r w:rsidR="00C951EA" w:rsidRPr="007E0B95">
        <w:t>.</w:t>
      </w:r>
    </w:p>
    <w:p w:rsidR="00C951EA" w:rsidRPr="007E0B95" w:rsidRDefault="00C951EA" w:rsidP="00D02960">
      <w:r w:rsidRPr="007E0B95">
        <w:t>Det samlade intrycket av hemmaboende vuxnas ekonomi är att de flesta lever under ganska små omständigheter men också att den personliga ekonomin har ett mindre omfång totalt sett, det vill säga att både inkomster och kostnader är låga. Det är också det som är ett av problemen med att unga vuxna inte kan flytta hemifrån: de har därmed inte möjlighet att ta ansvar för sin egen ekonomi fullt ut och har därför också svårare att forma och ta ansvar för sitt eget liv.</w:t>
      </w:r>
    </w:p>
    <w:p w:rsidR="00C951EA" w:rsidRPr="00BC18AC" w:rsidRDefault="00882052">
      <w:pPr>
        <w:pStyle w:val="Rubrik2"/>
        <w:rPr>
          <w:rFonts w:ascii="Arial" w:hAnsi="Arial" w:cs="Arial"/>
          <w:b/>
        </w:rPr>
      </w:pPr>
      <w:bookmarkStart w:id="9" w:name="_Toc481738289"/>
      <w:r w:rsidRPr="00BC18AC">
        <w:rPr>
          <w:rFonts w:ascii="Arial" w:hAnsi="Arial" w:cs="Arial"/>
          <w:b/>
        </w:rPr>
        <w:t>U</w:t>
      </w:r>
      <w:r w:rsidR="00883A27" w:rsidRPr="00BC18AC">
        <w:rPr>
          <w:rFonts w:ascii="Arial" w:hAnsi="Arial" w:cs="Arial"/>
          <w:b/>
        </w:rPr>
        <w:t>tmaningar</w:t>
      </w:r>
      <w:r w:rsidR="00C951EA" w:rsidRPr="00BC18AC">
        <w:rPr>
          <w:rFonts w:ascii="Arial" w:hAnsi="Arial" w:cs="Arial"/>
          <w:b/>
        </w:rPr>
        <w:t xml:space="preserve"> för hemmaboende unga vuxna</w:t>
      </w:r>
      <w:bookmarkEnd w:id="9"/>
    </w:p>
    <w:p w:rsidR="002A56F3" w:rsidRPr="007E0B95" w:rsidRDefault="00073A0B" w:rsidP="00D02960">
      <w:pPr>
        <w:rPr>
          <w:lang w:eastAsia="sv-SE"/>
        </w:rPr>
      </w:pPr>
      <w:r w:rsidRPr="007E0B95">
        <w:rPr>
          <w:lang w:eastAsia="sv-SE"/>
        </w:rPr>
        <w:t>Som vi sett</w:t>
      </w:r>
      <w:r w:rsidR="00C951EA" w:rsidRPr="007E0B95">
        <w:rPr>
          <w:lang w:eastAsia="sv-SE"/>
        </w:rPr>
        <w:t xml:space="preserve"> är det ofrivilliga </w:t>
      </w:r>
      <w:r w:rsidR="000163DD" w:rsidRPr="007E0B95">
        <w:rPr>
          <w:lang w:eastAsia="sv-SE"/>
        </w:rPr>
        <w:t>hemmaboende</w:t>
      </w:r>
      <w:r w:rsidR="00BF3E29" w:rsidRPr="007E0B95">
        <w:rPr>
          <w:lang w:eastAsia="sv-SE"/>
        </w:rPr>
        <w:t>t</w:t>
      </w:r>
      <w:r w:rsidR="000163DD" w:rsidRPr="007E0B95">
        <w:rPr>
          <w:lang w:eastAsia="sv-SE"/>
        </w:rPr>
        <w:t xml:space="preserve"> i sig den viktigaste utsatthetsindikatorn för unga vuxna. Nedan redovisar vi ytterligare mått</w:t>
      </w:r>
      <w:r w:rsidR="00C951EA" w:rsidRPr="007E0B95">
        <w:rPr>
          <w:lang w:eastAsia="sv-SE"/>
        </w:rPr>
        <w:t xml:space="preserve"> </w:t>
      </w:r>
      <w:r w:rsidR="000163DD" w:rsidRPr="007E0B95">
        <w:rPr>
          <w:lang w:eastAsia="sv-SE"/>
        </w:rPr>
        <w:t xml:space="preserve">som kan ge ytterligare indikation på graden av utsatthet för </w:t>
      </w:r>
      <w:r w:rsidRPr="007E0B95">
        <w:rPr>
          <w:lang w:eastAsia="sv-SE"/>
        </w:rPr>
        <w:t xml:space="preserve">hemmaboende </w:t>
      </w:r>
      <w:r w:rsidR="000163DD" w:rsidRPr="007E0B95">
        <w:rPr>
          <w:lang w:eastAsia="sv-SE"/>
        </w:rPr>
        <w:t>unga vuxna.</w:t>
      </w:r>
      <w:r w:rsidR="006B3BBB" w:rsidRPr="007E0B95">
        <w:rPr>
          <w:lang w:eastAsia="sv-SE"/>
        </w:rPr>
        <w:t xml:space="preserve"> </w:t>
      </w:r>
      <w:r w:rsidR="00C14F8B" w:rsidRPr="007E0B95">
        <w:rPr>
          <w:lang w:eastAsia="sv-SE"/>
        </w:rPr>
        <w:t>Ju fler utsatthetsindikatorer som stämmer in på en individ, desto svårare blir det för den individen att kompensera sin utsatthet i vissa avseenden med tillgångar eller i andra avseenden</w:t>
      </w:r>
      <w:r w:rsidRPr="007E0B95">
        <w:rPr>
          <w:lang w:eastAsia="sv-SE"/>
        </w:rPr>
        <w:t xml:space="preserve"> möjligheter</w:t>
      </w:r>
      <w:r w:rsidR="00C14F8B" w:rsidRPr="007E0B95">
        <w:rPr>
          <w:lang w:eastAsia="sv-SE"/>
        </w:rPr>
        <w:t>.</w:t>
      </w:r>
    </w:p>
    <w:p w:rsidR="004D3E42" w:rsidRPr="007E0B95" w:rsidRDefault="00396FFA" w:rsidP="00D02960">
      <w:r w:rsidRPr="007E0B95">
        <w:t>Med osäker anställningsform som vi anger nedan i tabell 3</w:t>
      </w:r>
      <w:r w:rsidR="002B750E" w:rsidRPr="007E0B95">
        <w:t>,</w:t>
      </w:r>
      <w:r w:rsidRPr="007E0B95">
        <w:t xml:space="preserve"> </w:t>
      </w:r>
      <w:r w:rsidR="00073A0B" w:rsidRPr="007E0B95">
        <w:t xml:space="preserve">menar </w:t>
      </w:r>
      <w:r w:rsidR="004D3E42" w:rsidRPr="007E0B95">
        <w:t>vi tidsbegränsade anställningar</w:t>
      </w:r>
      <w:r w:rsidRPr="007E0B95">
        <w:t xml:space="preserve"> </w:t>
      </w:r>
      <w:r w:rsidR="004D3E42" w:rsidRPr="007E0B95">
        <w:t xml:space="preserve">samt </w:t>
      </w:r>
      <w:r w:rsidRPr="007E0B95">
        <w:t>anstäl</w:t>
      </w:r>
      <w:r w:rsidR="004D3E42" w:rsidRPr="007E0B95">
        <w:t>lning utan anställningskontrakt</w:t>
      </w:r>
      <w:r w:rsidRPr="007E0B95">
        <w:t xml:space="preserve">. </w:t>
      </w:r>
      <w:r w:rsidR="004D3E42" w:rsidRPr="007E0B95">
        <w:t>Siffran för osäkra anställningsformer är konservativ</w:t>
      </w:r>
      <w:r w:rsidR="005D0574" w:rsidRPr="007E0B95">
        <w:t>t räknad, bland annat</w:t>
      </w:r>
      <w:r w:rsidR="004D3E42" w:rsidRPr="007E0B95">
        <w:t xml:space="preserve"> eftersom vi inte inkluderar dem som har eget företag</w:t>
      </w:r>
      <w:r w:rsidR="00073A0B" w:rsidRPr="007E0B95">
        <w:t xml:space="preserve"> i gruppen</w:t>
      </w:r>
      <w:r w:rsidR="004D3E42" w:rsidRPr="007E0B95">
        <w:t>.</w:t>
      </w:r>
      <w:r w:rsidR="005D0574" w:rsidRPr="007E0B95" w:rsidDel="005D0574">
        <w:t xml:space="preserve"> </w:t>
      </w:r>
    </w:p>
    <w:p w:rsidR="008A6C85" w:rsidRPr="007E0B95" w:rsidRDefault="004D3E42" w:rsidP="008A6C85">
      <w:r w:rsidRPr="007E0B95">
        <w:t xml:space="preserve">I kategorin arbetslös räknar vi även in dem som deltar i arbetsmarknadsåtgärd. </w:t>
      </w:r>
    </w:p>
    <w:p w:rsidR="000B157D" w:rsidRPr="007E0B95" w:rsidRDefault="000B157D" w:rsidP="00D02960">
      <w:pPr>
        <w:pStyle w:val="Grundtext"/>
        <w:rPr>
          <w:lang w:eastAsia="sv-SE"/>
        </w:rPr>
      </w:pPr>
    </w:p>
    <w:p w:rsidR="000B157D" w:rsidRPr="007E0B95" w:rsidRDefault="000B157D" w:rsidP="00D02960">
      <w:pPr>
        <w:pStyle w:val="Beskrivning"/>
        <w:rPr>
          <w:lang w:val="sv-SE"/>
        </w:rPr>
      </w:pPr>
      <w:r w:rsidRPr="007E0B95">
        <w:rPr>
          <w:lang w:val="sv-SE"/>
        </w:rPr>
        <w:t xml:space="preserve">Tabell </w:t>
      </w:r>
      <w:r w:rsidRPr="007E0B95">
        <w:rPr>
          <w:lang w:val="sv-SE"/>
        </w:rPr>
        <w:fldChar w:fldCharType="begin"/>
      </w:r>
      <w:r w:rsidRPr="007E0B95">
        <w:rPr>
          <w:lang w:val="sv-SE"/>
        </w:rPr>
        <w:instrText xml:space="preserve"> SEQ Tabell \* ARABIC </w:instrText>
      </w:r>
      <w:r w:rsidRPr="007E0B95">
        <w:rPr>
          <w:lang w:val="sv-SE"/>
        </w:rPr>
        <w:fldChar w:fldCharType="separate"/>
      </w:r>
      <w:r w:rsidR="006450EC">
        <w:rPr>
          <w:noProof/>
          <w:lang w:val="sv-SE"/>
        </w:rPr>
        <w:t>4</w:t>
      </w:r>
      <w:r w:rsidRPr="007E0B95">
        <w:rPr>
          <w:lang w:val="sv-SE"/>
        </w:rPr>
        <w:fldChar w:fldCharType="end"/>
      </w:r>
      <w:r w:rsidRPr="007E0B95">
        <w:rPr>
          <w:lang w:val="sv-SE"/>
        </w:rPr>
        <w:t>, indikatorer för hemmaboende unga vuxna</w:t>
      </w:r>
      <w:r w:rsidR="00271676" w:rsidRPr="007E0B95">
        <w:rPr>
          <w:lang w:val="sv-SE"/>
        </w:rPr>
        <w:t xml:space="preserve"> i </w:t>
      </w:r>
      <w:r w:rsidR="002B750E" w:rsidRPr="007E0B95">
        <w:rPr>
          <w:lang w:val="sv-SE"/>
        </w:rPr>
        <w:t>storgöteborg</w:t>
      </w:r>
      <w:r w:rsidRPr="007E0B95">
        <w:rPr>
          <w:lang w:val="sv-SE"/>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2385"/>
        <w:gridCol w:w="1517"/>
      </w:tblGrid>
      <w:tr w:rsidR="00162FE6" w:rsidRPr="00162FE6" w:rsidTr="00162FE6">
        <w:trPr>
          <w:trHeight w:val="300"/>
        </w:trPr>
        <w:tc>
          <w:tcPr>
            <w:tcW w:w="0" w:type="auto"/>
            <w:tcBorders>
              <w:top w:val="single" w:sz="4" w:space="0" w:color="auto"/>
              <w:bottom w:val="single" w:sz="4" w:space="0" w:color="auto"/>
            </w:tcBorders>
            <w:shd w:val="clear" w:color="auto" w:fill="A6A6A6" w:themeFill="background1" w:themeFillShade="A6"/>
          </w:tcPr>
          <w:p w:rsidR="008A6C85" w:rsidRPr="00162FE6" w:rsidRDefault="008A6C85" w:rsidP="004C77AD">
            <w:pPr>
              <w:pStyle w:val="Ingetavstnd"/>
              <w:rPr>
                <w:rFonts w:ascii="Arial" w:hAnsi="Arial" w:cs="Arial"/>
                <w:color w:val="FFFFFF" w:themeColor="background1"/>
                <w:lang w:val="sv-SE"/>
              </w:rPr>
            </w:pPr>
          </w:p>
        </w:tc>
        <w:tc>
          <w:tcPr>
            <w:tcW w:w="0" w:type="auto"/>
            <w:tcBorders>
              <w:top w:val="single" w:sz="4" w:space="0" w:color="auto"/>
              <w:bottom w:val="single" w:sz="4" w:space="0" w:color="auto"/>
            </w:tcBorders>
            <w:shd w:val="clear" w:color="auto" w:fill="A6A6A6" w:themeFill="background1" w:themeFillShade="A6"/>
            <w:vAlign w:val="center"/>
          </w:tcPr>
          <w:p w:rsidR="008A6C85" w:rsidRPr="00162FE6" w:rsidRDefault="008A6C85" w:rsidP="00E60CF4">
            <w:pPr>
              <w:pStyle w:val="Ingetavstnd"/>
              <w:jc w:val="right"/>
              <w:rPr>
                <w:rFonts w:ascii="Arial" w:hAnsi="Arial" w:cs="Arial"/>
                <w:color w:val="C00000"/>
                <w:lang w:val="sv-SE"/>
              </w:rPr>
            </w:pPr>
            <w:r w:rsidRPr="00162FE6">
              <w:rPr>
                <w:rFonts w:ascii="Arial" w:hAnsi="Arial" w:cs="Arial"/>
                <w:color w:val="C00000"/>
                <w:lang w:val="sv-SE"/>
              </w:rPr>
              <w:t>Andel av hemmaboende</w:t>
            </w:r>
          </w:p>
        </w:tc>
        <w:tc>
          <w:tcPr>
            <w:tcW w:w="0" w:type="auto"/>
            <w:tcBorders>
              <w:top w:val="single" w:sz="4" w:space="0" w:color="auto"/>
              <w:bottom w:val="single" w:sz="4" w:space="0" w:color="auto"/>
            </w:tcBorders>
            <w:shd w:val="clear" w:color="auto" w:fill="A6A6A6" w:themeFill="background1" w:themeFillShade="A6"/>
          </w:tcPr>
          <w:p w:rsidR="008A6C85" w:rsidRPr="00162FE6" w:rsidRDefault="008A6C85" w:rsidP="007E0B95">
            <w:pPr>
              <w:pStyle w:val="Ingetavstnd"/>
              <w:jc w:val="right"/>
              <w:rPr>
                <w:rFonts w:ascii="Arial" w:hAnsi="Arial" w:cs="Arial"/>
                <w:color w:val="C00000"/>
                <w:lang w:val="sv-SE"/>
              </w:rPr>
            </w:pPr>
            <w:r w:rsidRPr="00162FE6">
              <w:rPr>
                <w:rFonts w:ascii="Arial" w:hAnsi="Arial" w:cs="Arial"/>
                <w:color w:val="C00000"/>
                <w:lang w:val="sv-SE"/>
              </w:rPr>
              <w:t xml:space="preserve">Antal </w:t>
            </w:r>
            <w:r w:rsidR="007E0B95" w:rsidRPr="00162FE6">
              <w:rPr>
                <w:rFonts w:ascii="Arial" w:hAnsi="Arial" w:cs="Arial"/>
                <w:color w:val="C00000"/>
                <w:lang w:val="sv-SE"/>
              </w:rPr>
              <w:t>personer</w:t>
            </w:r>
          </w:p>
        </w:tc>
      </w:tr>
      <w:tr w:rsidR="00162FE6" w:rsidRPr="00162FE6" w:rsidTr="00162FE6">
        <w:trPr>
          <w:trHeight w:val="300"/>
        </w:trPr>
        <w:tc>
          <w:tcPr>
            <w:tcW w:w="0" w:type="auto"/>
            <w:tcBorders>
              <w:top w:val="single" w:sz="4" w:space="0" w:color="auto"/>
            </w:tcBorders>
            <w:shd w:val="clear" w:color="auto" w:fill="A6A6A6" w:themeFill="background1" w:themeFillShade="A6"/>
            <w:vAlign w:val="center"/>
          </w:tcPr>
          <w:p w:rsidR="007E0B95" w:rsidRPr="00162FE6" w:rsidRDefault="007E0B95" w:rsidP="007E0B95">
            <w:pPr>
              <w:pStyle w:val="Ingetavstnd"/>
              <w:jc w:val="left"/>
              <w:rPr>
                <w:rFonts w:ascii="Arial" w:hAnsi="Arial" w:cs="Arial"/>
                <w:color w:val="FFFFFF" w:themeColor="background1"/>
                <w:lang w:val="sv-SE"/>
              </w:rPr>
            </w:pPr>
            <w:r w:rsidRPr="00162FE6">
              <w:rPr>
                <w:rFonts w:ascii="Arial" w:hAnsi="Arial" w:cs="Arial"/>
                <w:color w:val="FFFFFF" w:themeColor="background1"/>
                <w:lang w:val="sv-SE"/>
              </w:rPr>
              <w:t>Har ej tillgång till eget rum</w:t>
            </w:r>
          </w:p>
        </w:tc>
        <w:tc>
          <w:tcPr>
            <w:tcW w:w="0" w:type="auto"/>
            <w:tcBorders>
              <w:top w:val="single" w:sz="4" w:space="0" w:color="auto"/>
            </w:tcBorders>
            <w:shd w:val="clear" w:color="auto" w:fill="A6A6A6" w:themeFill="background1" w:themeFillShade="A6"/>
            <w:vAlign w:val="center"/>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9,0 %</w:t>
            </w:r>
          </w:p>
        </w:tc>
        <w:tc>
          <w:tcPr>
            <w:tcW w:w="0" w:type="auto"/>
            <w:tcBorders>
              <w:top w:val="single" w:sz="4" w:space="0" w:color="auto"/>
            </w:tcBorders>
            <w:shd w:val="clear" w:color="auto" w:fill="A6A6A6" w:themeFill="background1" w:themeFillShade="A6"/>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2</w:t>
            </w:r>
            <w:r w:rsidR="00162FE6">
              <w:rPr>
                <w:rFonts w:ascii="Arial" w:hAnsi="Arial" w:cs="Arial"/>
                <w:color w:val="FFFFFF" w:themeColor="background1"/>
                <w:lang w:val="sv-SE"/>
              </w:rPr>
              <w:t xml:space="preserve"> </w:t>
            </w:r>
            <w:r w:rsidRPr="00162FE6">
              <w:rPr>
                <w:rFonts w:ascii="Arial" w:hAnsi="Arial" w:cs="Arial"/>
                <w:color w:val="FFFFFF" w:themeColor="background1"/>
                <w:lang w:val="sv-SE"/>
              </w:rPr>
              <w:t>603</w:t>
            </w:r>
          </w:p>
        </w:tc>
      </w:tr>
      <w:tr w:rsidR="00162FE6" w:rsidRPr="00162FE6" w:rsidTr="00162FE6">
        <w:trPr>
          <w:trHeight w:val="300"/>
        </w:trPr>
        <w:tc>
          <w:tcPr>
            <w:tcW w:w="0" w:type="auto"/>
            <w:shd w:val="clear" w:color="auto" w:fill="A6A6A6" w:themeFill="background1" w:themeFillShade="A6"/>
            <w:vAlign w:val="center"/>
          </w:tcPr>
          <w:p w:rsidR="007E0B95" w:rsidRPr="00162FE6" w:rsidRDefault="007E0B95" w:rsidP="007E0B95">
            <w:pPr>
              <w:pStyle w:val="Ingetavstnd"/>
              <w:jc w:val="left"/>
              <w:rPr>
                <w:rFonts w:ascii="Arial" w:hAnsi="Arial" w:cs="Arial"/>
                <w:color w:val="FFFFFF" w:themeColor="background1"/>
              </w:rPr>
            </w:pPr>
            <w:r w:rsidRPr="00162FE6">
              <w:rPr>
                <w:rFonts w:ascii="Arial" w:hAnsi="Arial" w:cs="Arial"/>
                <w:color w:val="FFFFFF" w:themeColor="background1"/>
                <w:lang w:val="sv-SE"/>
              </w:rPr>
              <w:t>Arbetslös</w:t>
            </w:r>
          </w:p>
        </w:tc>
        <w:tc>
          <w:tcPr>
            <w:tcW w:w="0" w:type="auto"/>
            <w:shd w:val="clear" w:color="auto" w:fill="A6A6A6" w:themeFill="background1" w:themeFillShade="A6"/>
            <w:vAlign w:val="center"/>
          </w:tcPr>
          <w:p w:rsidR="007E0B95" w:rsidRPr="00162FE6" w:rsidRDefault="007E0B95" w:rsidP="007E0B95">
            <w:pPr>
              <w:pStyle w:val="Ingetavstnd"/>
              <w:jc w:val="right"/>
              <w:rPr>
                <w:rFonts w:ascii="Arial" w:hAnsi="Arial" w:cs="Arial"/>
                <w:color w:val="FFFFFF" w:themeColor="background1"/>
              </w:rPr>
            </w:pPr>
            <w:r w:rsidRPr="00162FE6">
              <w:rPr>
                <w:rFonts w:ascii="Arial" w:hAnsi="Arial" w:cs="Arial"/>
                <w:color w:val="FFFFFF" w:themeColor="background1"/>
                <w:lang w:val="sv-SE"/>
              </w:rPr>
              <w:t>10,6 %</w:t>
            </w:r>
          </w:p>
        </w:tc>
        <w:tc>
          <w:tcPr>
            <w:tcW w:w="0" w:type="auto"/>
            <w:shd w:val="clear" w:color="auto" w:fill="A6A6A6" w:themeFill="background1" w:themeFillShade="A6"/>
          </w:tcPr>
          <w:p w:rsidR="007E0B95" w:rsidRPr="00162FE6" w:rsidRDefault="007E0B95" w:rsidP="007E0B95">
            <w:pPr>
              <w:pStyle w:val="Ingetavstnd"/>
              <w:jc w:val="right"/>
              <w:rPr>
                <w:rFonts w:ascii="Arial" w:hAnsi="Arial" w:cs="Arial"/>
                <w:color w:val="FFFFFF" w:themeColor="background1"/>
              </w:rPr>
            </w:pPr>
            <w:r w:rsidRPr="00162FE6">
              <w:rPr>
                <w:rFonts w:ascii="Arial" w:hAnsi="Arial" w:cs="Arial"/>
                <w:color w:val="FFFFFF" w:themeColor="background1"/>
                <w:lang w:val="sv-SE"/>
              </w:rPr>
              <w:t>3</w:t>
            </w:r>
            <w:r w:rsidR="00162FE6">
              <w:rPr>
                <w:rFonts w:ascii="Arial" w:hAnsi="Arial" w:cs="Arial"/>
                <w:color w:val="FFFFFF" w:themeColor="background1"/>
                <w:lang w:val="sv-SE"/>
              </w:rPr>
              <w:t xml:space="preserve"> </w:t>
            </w:r>
            <w:r w:rsidRPr="00162FE6">
              <w:rPr>
                <w:rFonts w:ascii="Arial" w:hAnsi="Arial" w:cs="Arial"/>
                <w:color w:val="FFFFFF" w:themeColor="background1"/>
                <w:lang w:val="sv-SE"/>
              </w:rPr>
              <w:t>065</w:t>
            </w:r>
          </w:p>
        </w:tc>
      </w:tr>
      <w:tr w:rsidR="00162FE6" w:rsidRPr="00162FE6" w:rsidTr="00162FE6">
        <w:trPr>
          <w:trHeight w:val="300"/>
        </w:trPr>
        <w:tc>
          <w:tcPr>
            <w:tcW w:w="0" w:type="auto"/>
            <w:shd w:val="clear" w:color="auto" w:fill="A6A6A6" w:themeFill="background1" w:themeFillShade="A6"/>
            <w:vAlign w:val="center"/>
          </w:tcPr>
          <w:p w:rsidR="007E0B95" w:rsidRPr="00162FE6" w:rsidRDefault="007E0B95" w:rsidP="007E0B95">
            <w:pPr>
              <w:pStyle w:val="Ingetavstnd"/>
              <w:jc w:val="left"/>
              <w:rPr>
                <w:rFonts w:ascii="Arial" w:hAnsi="Arial" w:cs="Arial"/>
                <w:color w:val="FFFFFF" w:themeColor="background1"/>
                <w:lang w:val="sv-SE"/>
              </w:rPr>
            </w:pPr>
            <w:r w:rsidRPr="00162FE6">
              <w:rPr>
                <w:rFonts w:ascii="Arial" w:hAnsi="Arial" w:cs="Arial"/>
                <w:color w:val="FFFFFF" w:themeColor="background1"/>
                <w:lang w:val="sv-SE"/>
              </w:rPr>
              <w:t>Osäker anställningsform</w:t>
            </w:r>
          </w:p>
        </w:tc>
        <w:tc>
          <w:tcPr>
            <w:tcW w:w="0" w:type="auto"/>
            <w:shd w:val="clear" w:color="auto" w:fill="A6A6A6" w:themeFill="background1" w:themeFillShade="A6"/>
            <w:vAlign w:val="center"/>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21,2 %</w:t>
            </w:r>
          </w:p>
        </w:tc>
        <w:tc>
          <w:tcPr>
            <w:tcW w:w="0" w:type="auto"/>
            <w:shd w:val="clear" w:color="auto" w:fill="A6A6A6" w:themeFill="background1" w:themeFillShade="A6"/>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6</w:t>
            </w:r>
            <w:r w:rsidR="00162FE6">
              <w:rPr>
                <w:rFonts w:ascii="Arial" w:hAnsi="Arial" w:cs="Arial"/>
                <w:color w:val="FFFFFF" w:themeColor="background1"/>
                <w:lang w:val="sv-SE"/>
              </w:rPr>
              <w:t xml:space="preserve"> </w:t>
            </w:r>
            <w:r w:rsidRPr="00162FE6">
              <w:rPr>
                <w:rFonts w:ascii="Arial" w:hAnsi="Arial" w:cs="Arial"/>
                <w:color w:val="FFFFFF" w:themeColor="background1"/>
                <w:lang w:val="sv-SE"/>
              </w:rPr>
              <w:t>131</w:t>
            </w:r>
          </w:p>
        </w:tc>
      </w:tr>
      <w:tr w:rsidR="00162FE6" w:rsidRPr="00162FE6" w:rsidTr="00162FE6">
        <w:trPr>
          <w:trHeight w:val="300"/>
        </w:trPr>
        <w:tc>
          <w:tcPr>
            <w:tcW w:w="0" w:type="auto"/>
            <w:shd w:val="clear" w:color="auto" w:fill="A6A6A6" w:themeFill="background1" w:themeFillShade="A6"/>
            <w:vAlign w:val="center"/>
          </w:tcPr>
          <w:p w:rsidR="007E0B95" w:rsidRPr="00162FE6" w:rsidRDefault="007E0B95" w:rsidP="007E0B95">
            <w:pPr>
              <w:pStyle w:val="Ingetavstnd"/>
              <w:jc w:val="left"/>
              <w:rPr>
                <w:rFonts w:ascii="Arial" w:hAnsi="Arial" w:cs="Arial"/>
                <w:color w:val="FFFFFF" w:themeColor="background1"/>
                <w:lang w:val="sv-SE"/>
              </w:rPr>
            </w:pPr>
            <w:r w:rsidRPr="00162FE6">
              <w:rPr>
                <w:rFonts w:ascii="Arial" w:hAnsi="Arial" w:cs="Arial"/>
                <w:color w:val="FFFFFF" w:themeColor="background1"/>
                <w:lang w:val="sv-SE"/>
              </w:rPr>
              <w:t>Vet ej inkomst nästkommande månad</w:t>
            </w:r>
          </w:p>
        </w:tc>
        <w:tc>
          <w:tcPr>
            <w:tcW w:w="0" w:type="auto"/>
            <w:shd w:val="clear" w:color="auto" w:fill="A6A6A6" w:themeFill="background1" w:themeFillShade="A6"/>
            <w:vAlign w:val="center"/>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35,8 %</w:t>
            </w:r>
          </w:p>
        </w:tc>
        <w:tc>
          <w:tcPr>
            <w:tcW w:w="0" w:type="auto"/>
            <w:shd w:val="clear" w:color="auto" w:fill="A6A6A6" w:themeFill="background1" w:themeFillShade="A6"/>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10</w:t>
            </w:r>
            <w:r w:rsidR="00162FE6">
              <w:rPr>
                <w:rFonts w:ascii="Arial" w:hAnsi="Arial" w:cs="Arial"/>
                <w:color w:val="FFFFFF" w:themeColor="background1"/>
                <w:lang w:val="sv-SE"/>
              </w:rPr>
              <w:t xml:space="preserve"> </w:t>
            </w:r>
            <w:r w:rsidRPr="00162FE6">
              <w:rPr>
                <w:rFonts w:ascii="Arial" w:hAnsi="Arial" w:cs="Arial"/>
                <w:color w:val="FFFFFF" w:themeColor="background1"/>
                <w:lang w:val="sv-SE"/>
              </w:rPr>
              <w:t>353</w:t>
            </w:r>
          </w:p>
        </w:tc>
      </w:tr>
      <w:tr w:rsidR="00162FE6" w:rsidRPr="00162FE6" w:rsidTr="00162FE6">
        <w:trPr>
          <w:trHeight w:val="300"/>
        </w:trPr>
        <w:tc>
          <w:tcPr>
            <w:tcW w:w="0" w:type="auto"/>
            <w:shd w:val="clear" w:color="auto" w:fill="A6A6A6" w:themeFill="background1" w:themeFillShade="A6"/>
            <w:vAlign w:val="center"/>
          </w:tcPr>
          <w:p w:rsidR="007E0B95" w:rsidRPr="00162FE6" w:rsidRDefault="007E0B95" w:rsidP="007E0B95">
            <w:pPr>
              <w:pStyle w:val="Ingetavstnd"/>
              <w:jc w:val="left"/>
              <w:rPr>
                <w:rFonts w:ascii="Arial" w:hAnsi="Arial" w:cs="Arial"/>
                <w:color w:val="FFFFFF" w:themeColor="background1"/>
                <w:lang w:val="sv-SE"/>
              </w:rPr>
            </w:pPr>
            <w:r w:rsidRPr="00162FE6">
              <w:rPr>
                <w:rFonts w:ascii="Arial" w:hAnsi="Arial" w:cs="Arial"/>
                <w:color w:val="FFFFFF" w:themeColor="background1"/>
                <w:lang w:val="sv-SE"/>
              </w:rPr>
              <w:t>Kan ej få ekonomisk hjälp från familj med bostadsköp</w:t>
            </w:r>
          </w:p>
        </w:tc>
        <w:tc>
          <w:tcPr>
            <w:tcW w:w="0" w:type="auto"/>
            <w:shd w:val="clear" w:color="auto" w:fill="A6A6A6" w:themeFill="background1" w:themeFillShade="A6"/>
            <w:vAlign w:val="center"/>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45,0 %</w:t>
            </w:r>
          </w:p>
        </w:tc>
        <w:tc>
          <w:tcPr>
            <w:tcW w:w="0" w:type="auto"/>
            <w:shd w:val="clear" w:color="auto" w:fill="A6A6A6" w:themeFill="background1" w:themeFillShade="A6"/>
          </w:tcPr>
          <w:p w:rsidR="007E0B95" w:rsidRPr="00162FE6" w:rsidRDefault="007E0B95" w:rsidP="007E0B95">
            <w:pPr>
              <w:pStyle w:val="Ingetavstnd"/>
              <w:jc w:val="right"/>
              <w:rPr>
                <w:rFonts w:ascii="Arial" w:hAnsi="Arial" w:cs="Arial"/>
                <w:color w:val="FFFFFF" w:themeColor="background1"/>
                <w:lang w:val="sv-SE"/>
              </w:rPr>
            </w:pPr>
            <w:r w:rsidRPr="00162FE6">
              <w:rPr>
                <w:rFonts w:ascii="Arial" w:hAnsi="Arial" w:cs="Arial"/>
                <w:color w:val="FFFFFF" w:themeColor="background1"/>
                <w:lang w:val="sv-SE"/>
              </w:rPr>
              <w:t>13</w:t>
            </w:r>
            <w:r w:rsidR="00162FE6">
              <w:rPr>
                <w:rFonts w:ascii="Arial" w:hAnsi="Arial" w:cs="Arial"/>
                <w:color w:val="FFFFFF" w:themeColor="background1"/>
                <w:lang w:val="sv-SE"/>
              </w:rPr>
              <w:t xml:space="preserve"> </w:t>
            </w:r>
            <w:r w:rsidRPr="00162FE6">
              <w:rPr>
                <w:rFonts w:ascii="Arial" w:hAnsi="Arial" w:cs="Arial"/>
                <w:color w:val="FFFFFF" w:themeColor="background1"/>
                <w:lang w:val="sv-SE"/>
              </w:rPr>
              <w:t>013</w:t>
            </w:r>
          </w:p>
        </w:tc>
      </w:tr>
      <w:tr w:rsidR="00162FE6" w:rsidRPr="00162FE6" w:rsidTr="00162FE6">
        <w:trPr>
          <w:trHeight w:val="300"/>
        </w:trPr>
        <w:tc>
          <w:tcPr>
            <w:tcW w:w="0" w:type="auto"/>
            <w:tcBorders>
              <w:bottom w:val="single" w:sz="4" w:space="0" w:color="auto"/>
            </w:tcBorders>
            <w:shd w:val="clear" w:color="auto" w:fill="A6A6A6" w:themeFill="background1" w:themeFillShade="A6"/>
            <w:vAlign w:val="center"/>
          </w:tcPr>
          <w:p w:rsidR="007E0B95" w:rsidRPr="00162FE6" w:rsidRDefault="007E0B95" w:rsidP="007E0B95">
            <w:pPr>
              <w:pStyle w:val="Ingetavstnd"/>
              <w:jc w:val="left"/>
              <w:rPr>
                <w:rFonts w:ascii="Arial" w:hAnsi="Arial" w:cs="Arial"/>
                <w:color w:val="FFFFFF" w:themeColor="background1"/>
                <w:lang w:val="sv-SE"/>
              </w:rPr>
            </w:pPr>
            <w:r w:rsidRPr="00162FE6">
              <w:rPr>
                <w:rFonts w:ascii="Arial" w:hAnsi="Arial" w:cs="Arial"/>
                <w:color w:val="FFFFFF" w:themeColor="background1"/>
                <w:lang w:val="sv-SE"/>
              </w:rPr>
              <w:t>Kan ej få hjälp med borgenär från familj vid bostadsköp</w:t>
            </w:r>
          </w:p>
        </w:tc>
        <w:tc>
          <w:tcPr>
            <w:tcW w:w="0" w:type="auto"/>
            <w:tcBorders>
              <w:bottom w:val="single" w:sz="4" w:space="0" w:color="auto"/>
            </w:tcBorders>
            <w:shd w:val="clear" w:color="auto" w:fill="A6A6A6" w:themeFill="background1" w:themeFillShade="A6"/>
            <w:vAlign w:val="center"/>
          </w:tcPr>
          <w:p w:rsidR="007E0B95" w:rsidRPr="00162FE6" w:rsidRDefault="007E0B95" w:rsidP="007E0B95">
            <w:pPr>
              <w:pStyle w:val="Ingetavstnd"/>
              <w:keepNext/>
              <w:jc w:val="right"/>
              <w:rPr>
                <w:rFonts w:ascii="Arial" w:hAnsi="Arial" w:cs="Arial"/>
                <w:color w:val="FFFFFF" w:themeColor="background1"/>
                <w:lang w:val="sv-SE"/>
              </w:rPr>
            </w:pPr>
            <w:r w:rsidRPr="00162FE6">
              <w:rPr>
                <w:rFonts w:ascii="Arial" w:hAnsi="Arial" w:cs="Arial"/>
                <w:color w:val="FFFFFF" w:themeColor="background1"/>
                <w:lang w:val="sv-SE"/>
              </w:rPr>
              <w:t>29,1 %</w:t>
            </w:r>
          </w:p>
        </w:tc>
        <w:tc>
          <w:tcPr>
            <w:tcW w:w="0" w:type="auto"/>
            <w:tcBorders>
              <w:bottom w:val="single" w:sz="4" w:space="0" w:color="auto"/>
            </w:tcBorders>
            <w:shd w:val="clear" w:color="auto" w:fill="A6A6A6" w:themeFill="background1" w:themeFillShade="A6"/>
          </w:tcPr>
          <w:p w:rsidR="007E0B95" w:rsidRPr="00162FE6" w:rsidRDefault="007E0B95" w:rsidP="007E0B95">
            <w:pPr>
              <w:pStyle w:val="Ingetavstnd"/>
              <w:keepNext/>
              <w:jc w:val="right"/>
              <w:rPr>
                <w:rFonts w:ascii="Arial" w:hAnsi="Arial" w:cs="Arial"/>
                <w:color w:val="FFFFFF" w:themeColor="background1"/>
                <w:lang w:val="sv-SE"/>
              </w:rPr>
            </w:pPr>
            <w:r w:rsidRPr="00162FE6">
              <w:rPr>
                <w:rFonts w:ascii="Arial" w:hAnsi="Arial" w:cs="Arial"/>
                <w:color w:val="FFFFFF" w:themeColor="background1"/>
                <w:lang w:val="sv-SE"/>
              </w:rPr>
              <w:t>8</w:t>
            </w:r>
            <w:r w:rsidR="00162FE6">
              <w:rPr>
                <w:rFonts w:ascii="Arial" w:hAnsi="Arial" w:cs="Arial"/>
                <w:color w:val="FFFFFF" w:themeColor="background1"/>
                <w:lang w:val="sv-SE"/>
              </w:rPr>
              <w:t xml:space="preserve"> </w:t>
            </w:r>
            <w:r w:rsidRPr="00162FE6">
              <w:rPr>
                <w:rFonts w:ascii="Arial" w:hAnsi="Arial" w:cs="Arial"/>
                <w:color w:val="FFFFFF" w:themeColor="background1"/>
                <w:lang w:val="sv-SE"/>
              </w:rPr>
              <w:t>415</w:t>
            </w:r>
          </w:p>
        </w:tc>
      </w:tr>
    </w:tbl>
    <w:p w:rsidR="000B157D" w:rsidRPr="007E0B95" w:rsidRDefault="000B157D" w:rsidP="00D02960">
      <w:pPr>
        <w:rPr>
          <w:lang w:eastAsia="sv-SE"/>
        </w:rPr>
      </w:pPr>
    </w:p>
    <w:p w:rsidR="00C14F8B" w:rsidRPr="007E0B95" w:rsidRDefault="00AA61C7">
      <w:r w:rsidRPr="007E0B95">
        <w:t>Hemmaboende ligger relativt högt på de applicerbara indikatorerna</w:t>
      </w:r>
      <w:r w:rsidR="0000619A" w:rsidRPr="007E0B95">
        <w:t xml:space="preserve"> för utsatthet</w:t>
      </w:r>
      <w:r w:rsidRPr="007E0B95">
        <w:t xml:space="preserve"> (jämför med dem som har eget boende, tabell 5</w:t>
      </w:r>
      <w:r w:rsidR="007004F4" w:rsidRPr="007E0B95">
        <w:t xml:space="preserve"> nedan</w:t>
      </w:r>
      <w:r w:rsidRPr="007E0B95">
        <w:t xml:space="preserve">), utom för indikatorn ”ej tillgång till eget rum”. </w:t>
      </w:r>
      <w:r w:rsidR="00693596" w:rsidRPr="007E0B95">
        <w:t>Det är ett uttryck för att även om hemmaboendet i</w:t>
      </w:r>
      <w:r w:rsidR="007004F4" w:rsidRPr="007E0B95">
        <w:t xml:space="preserve"> </w:t>
      </w:r>
      <w:r w:rsidR="00693596" w:rsidRPr="007E0B95">
        <w:t>sig är enkelt, riskfritt och kanske bekvämt, så är det</w:t>
      </w:r>
      <w:r w:rsidR="007004F4" w:rsidRPr="007E0B95">
        <w:t xml:space="preserve"> för många</w:t>
      </w:r>
      <w:r w:rsidR="00693596" w:rsidRPr="007E0B95">
        <w:t xml:space="preserve"> i praktiken </w:t>
      </w:r>
      <w:r w:rsidR="007004F4" w:rsidRPr="007E0B95">
        <w:t>ett boende</w:t>
      </w:r>
      <w:r w:rsidR="00693596" w:rsidRPr="007E0B95">
        <w:t xml:space="preserve"> utan vidare utsikter till förändring. Man har i allmänhet ett rum där man kan dra sig undan, man betalar inte mycket för sitt boende som vi visat ovan, men å andra sidan har man på grund av osäkra inkomster och anhöriga som inte har möjlighet att hjälpa till (troligen för att de själva har begränsade resurser), svårt att ta sig vidare i livet.</w:t>
      </w:r>
      <w:r w:rsidR="00483D1B" w:rsidRPr="007E0B95">
        <w:t xml:space="preserve"> Arbetslösheten är också mycket högre bland hemmaboende, än bland dem som har flyttat till eget boende (jämför med tabell </w:t>
      </w:r>
      <w:r w:rsidR="007A5BFA" w:rsidRPr="007E0B95">
        <w:t>5).</w:t>
      </w:r>
    </w:p>
    <w:p w:rsidR="008D082D" w:rsidRPr="007E0B95" w:rsidRDefault="008D082D">
      <w:pPr>
        <w:rPr>
          <w:lang w:eastAsia="sv-SE"/>
        </w:rPr>
      </w:pPr>
      <w:r w:rsidRPr="007E0B95">
        <w:rPr>
          <w:lang w:eastAsia="sv-SE"/>
        </w:rPr>
        <w:br w:type="page"/>
      </w:r>
    </w:p>
    <w:p w:rsidR="005776EB" w:rsidRPr="00BC18AC" w:rsidRDefault="005776EB">
      <w:pPr>
        <w:pStyle w:val="Rubrik1"/>
        <w:rPr>
          <w:rFonts w:ascii="Arial" w:hAnsi="Arial" w:cs="Arial"/>
          <w:b/>
          <w:sz w:val="32"/>
          <w:lang w:eastAsia="sv-SE"/>
        </w:rPr>
      </w:pPr>
      <w:bookmarkStart w:id="10" w:name="_Toc481738290"/>
      <w:r w:rsidRPr="00BC18AC">
        <w:rPr>
          <w:rFonts w:ascii="Arial" w:hAnsi="Arial" w:cs="Arial"/>
          <w:b/>
          <w:sz w:val="32"/>
          <w:lang w:eastAsia="sv-SE"/>
        </w:rPr>
        <w:lastRenderedPageBreak/>
        <w:t>Unga vuxna som har skaffat sig eget boende</w:t>
      </w:r>
      <w:bookmarkEnd w:id="10"/>
    </w:p>
    <w:p w:rsidR="000163DD" w:rsidRPr="007E0B95" w:rsidRDefault="006A544D" w:rsidP="00D02960">
      <w:pPr>
        <w:rPr>
          <w:lang w:eastAsia="sv-SE"/>
        </w:rPr>
      </w:pPr>
      <w:r w:rsidRPr="007E0B95">
        <w:rPr>
          <w:lang w:eastAsia="sv-SE"/>
        </w:rPr>
        <w:t xml:space="preserve">När man flyttar hemifrån och på allvar tar steget ut i vuxenvärlden får man en helt annan kontroll över både sitt liv och sin ekonomi. Med det följer också med automatik en ökad ekonomisk utsatthet, särskilt i unga år, innan man kanske har stabila inkomster och innan man kan hitta ett tryggt boende. När det gäller just olika typer av utsatthetsindikatorer så </w:t>
      </w:r>
      <w:r w:rsidR="00882052" w:rsidRPr="007E0B95">
        <w:rPr>
          <w:lang w:eastAsia="sv-SE"/>
        </w:rPr>
        <w:t>är det därför möjligt att,</w:t>
      </w:r>
      <w:r w:rsidRPr="007E0B95">
        <w:rPr>
          <w:lang w:eastAsia="sv-SE"/>
        </w:rPr>
        <w:t xml:space="preserve"> för gru</w:t>
      </w:r>
      <w:r w:rsidR="00FC2FDB" w:rsidRPr="007E0B95">
        <w:rPr>
          <w:lang w:eastAsia="sv-SE"/>
        </w:rPr>
        <w:t>ppen unga vuxna med eget boende</w:t>
      </w:r>
      <w:r w:rsidR="00882052" w:rsidRPr="007E0B95">
        <w:rPr>
          <w:lang w:eastAsia="sv-SE"/>
        </w:rPr>
        <w:t>,</w:t>
      </w:r>
      <w:r w:rsidRPr="007E0B95">
        <w:rPr>
          <w:lang w:eastAsia="sv-SE"/>
        </w:rPr>
        <w:t xml:space="preserve"> utöka antalet indikatorer</w:t>
      </w:r>
      <w:r w:rsidR="00FC2FDB" w:rsidRPr="007E0B95">
        <w:rPr>
          <w:lang w:eastAsia="sv-SE"/>
        </w:rPr>
        <w:t>,</w:t>
      </w:r>
      <w:r w:rsidRPr="007E0B95">
        <w:rPr>
          <w:lang w:eastAsia="sv-SE"/>
        </w:rPr>
        <w:t xml:space="preserve"> samt </w:t>
      </w:r>
      <w:r w:rsidR="00882052" w:rsidRPr="007E0B95">
        <w:rPr>
          <w:lang w:eastAsia="sv-SE"/>
        </w:rPr>
        <w:t xml:space="preserve">också </w:t>
      </w:r>
      <w:r w:rsidRPr="007E0B95">
        <w:rPr>
          <w:lang w:eastAsia="sv-SE"/>
        </w:rPr>
        <w:t>lägga till ekonomiska fattigdomsbegrepp.</w:t>
      </w:r>
      <w:r w:rsidR="00FC2FDB" w:rsidRPr="007E0B95">
        <w:rPr>
          <w:lang w:eastAsia="sv-SE"/>
        </w:rPr>
        <w:t xml:space="preserve"> </w:t>
      </w:r>
      <w:r w:rsidR="000163DD" w:rsidRPr="007E0B95">
        <w:t xml:space="preserve">Inledningsvis </w:t>
      </w:r>
      <w:r w:rsidR="00882052" w:rsidRPr="007E0B95">
        <w:t xml:space="preserve">kommer vi att </w:t>
      </w:r>
      <w:r w:rsidR="000163DD" w:rsidRPr="007E0B95">
        <w:t>redovisa</w:t>
      </w:r>
      <w:r w:rsidR="00882052" w:rsidRPr="007E0B95">
        <w:t xml:space="preserve"> </w:t>
      </w:r>
      <w:r w:rsidR="000163DD" w:rsidRPr="007E0B95">
        <w:t>bakgrundsfakta kring boendeformer boendekostnader</w:t>
      </w:r>
      <w:r w:rsidR="00882052" w:rsidRPr="007E0B95">
        <w:t xml:space="preserve">, för att sedan komma in på dessa indikatorer. </w:t>
      </w:r>
    </w:p>
    <w:p w:rsidR="00CD468D" w:rsidRPr="00BC18AC" w:rsidRDefault="00CD468D">
      <w:pPr>
        <w:pStyle w:val="Rubrik2"/>
        <w:rPr>
          <w:rFonts w:ascii="Arial" w:hAnsi="Arial" w:cs="Arial"/>
          <w:b/>
          <w:szCs w:val="32"/>
        </w:rPr>
      </w:pPr>
      <w:bookmarkStart w:id="11" w:name="_Toc481738291"/>
      <w:r w:rsidRPr="00BC18AC">
        <w:rPr>
          <w:rFonts w:ascii="Arial" w:hAnsi="Arial" w:cs="Arial"/>
          <w:b/>
          <w:szCs w:val="32"/>
        </w:rPr>
        <w:t>Boendeformer för dem som skaffat sig eget boende</w:t>
      </w:r>
      <w:bookmarkEnd w:id="11"/>
    </w:p>
    <w:p w:rsidR="00C136C0" w:rsidRPr="007E0B95" w:rsidRDefault="00D77BCB" w:rsidP="00D02960">
      <w:r w:rsidRPr="007E0B95">
        <w:t>Hyresrätten är den vanligaste boendeformen bland unga vuxna som skaffat sig eget boende. Även om man slår ihop de ägda boendeformerna (</w:t>
      </w:r>
      <w:r w:rsidR="00882052" w:rsidRPr="007E0B95">
        <w:t>b</w:t>
      </w:r>
      <w:r w:rsidRPr="007E0B95">
        <w:t xml:space="preserve">ostadsrätt och </w:t>
      </w:r>
      <w:r w:rsidR="00882052" w:rsidRPr="007E0B95">
        <w:t>e</w:t>
      </w:r>
      <w:r w:rsidRPr="007E0B95">
        <w:t xml:space="preserve">get hus) förblir </w:t>
      </w:r>
      <w:r w:rsidR="00882052" w:rsidRPr="007E0B95">
        <w:t>h</w:t>
      </w:r>
      <w:r w:rsidRPr="007E0B95">
        <w:t>yresrät</w:t>
      </w:r>
      <w:r w:rsidR="0040000A" w:rsidRPr="007E0B95">
        <w:t>ten den vanligaste boendeformen</w:t>
      </w:r>
      <w:r w:rsidR="00C82B37" w:rsidRPr="007E0B95">
        <w:rPr>
          <w:rStyle w:val="Fotnotsreferens"/>
          <w:vertAlign w:val="superscript"/>
        </w:rPr>
        <w:footnoteReference w:id="2"/>
      </w:r>
      <w:r w:rsidR="00882052" w:rsidRPr="007E0B95">
        <w:t>.</w:t>
      </w:r>
      <w:r w:rsidRPr="007E0B95">
        <w:t xml:space="preserve"> </w:t>
      </w:r>
      <w:r w:rsidR="00882052" w:rsidRPr="007E0B95">
        <w:t>35,3</w:t>
      </w:r>
      <w:r w:rsidR="0000619A" w:rsidRPr="007E0B95">
        <w:t xml:space="preserve"> procent</w:t>
      </w:r>
      <w:r w:rsidRPr="007E0B95">
        <w:t xml:space="preserve"> av unga vuxna som har skaffat sig ett eget boende bor i hyresrätt med förstahandskontrakt, jämfört med de 2</w:t>
      </w:r>
      <w:r w:rsidR="00882052" w:rsidRPr="007E0B95">
        <w:t>3,3</w:t>
      </w:r>
      <w:r w:rsidR="0000619A" w:rsidRPr="007E0B95">
        <w:t xml:space="preserve"> procent</w:t>
      </w:r>
      <w:r w:rsidRPr="007E0B95">
        <w:t xml:space="preserve"> som bor i ägda boendeformer.</w:t>
      </w:r>
      <w:r w:rsidR="003A4BD4" w:rsidRPr="007E0B95">
        <w:rPr>
          <w:vertAlign w:val="superscript"/>
        </w:rPr>
        <w:t xml:space="preserve"> </w:t>
      </w:r>
      <w:r w:rsidRPr="007E0B95">
        <w:t>Hyresrätten är alltså det främsta verktyg</w:t>
      </w:r>
      <w:r w:rsidR="00545285" w:rsidRPr="007E0B95">
        <w:t>et</w:t>
      </w:r>
      <w:r w:rsidRPr="007E0B95">
        <w:t xml:space="preserve"> med var</w:t>
      </w:r>
      <w:r w:rsidR="00545285" w:rsidRPr="007E0B95">
        <w:t>s</w:t>
      </w:r>
      <w:r w:rsidRPr="007E0B95">
        <w:t xml:space="preserve"> hj</w:t>
      </w:r>
      <w:r w:rsidR="008B2249" w:rsidRPr="007E0B95">
        <w:t>älp unga vuxna flyttar hemifrån.</w:t>
      </w:r>
    </w:p>
    <w:p w:rsidR="007F676A" w:rsidRPr="007E0B95" w:rsidRDefault="007F676A" w:rsidP="00D02960"/>
    <w:p w:rsidR="007F676A" w:rsidRPr="007E0B95" w:rsidRDefault="007F676A" w:rsidP="007F676A">
      <w:pPr>
        <w:pStyle w:val="Ingetavstnd"/>
      </w:pPr>
      <w:r w:rsidRPr="007E0B95">
        <w:rPr>
          <w:noProof/>
          <w:lang w:eastAsia="sv-SE"/>
        </w:rPr>
        <w:drawing>
          <wp:inline distT="0" distB="0" distL="0" distR="0" wp14:anchorId="73090BAE" wp14:editId="3D120557">
            <wp:extent cx="5040000" cy="2880000"/>
            <wp:effectExtent l="0" t="0" r="8255" b="0"/>
            <wp:docPr id="9"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0B18C-060C-4855-931F-3A2778E2D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76EB" w:rsidRPr="007E0B95" w:rsidRDefault="003A4BD4" w:rsidP="00D02960">
      <w:pPr>
        <w:pStyle w:val="Beskrivning"/>
        <w:rPr>
          <w:lang w:val="sv-SE"/>
        </w:rPr>
      </w:pPr>
      <w:r w:rsidRPr="007E0B95">
        <w:rPr>
          <w:lang w:val="sv-SE"/>
        </w:rPr>
        <w:t xml:space="preserve">Figur </w:t>
      </w:r>
      <w:r w:rsidRPr="007E0B95">
        <w:rPr>
          <w:lang w:val="sv-SE"/>
        </w:rPr>
        <w:fldChar w:fldCharType="begin"/>
      </w:r>
      <w:r w:rsidRPr="007E0B95">
        <w:rPr>
          <w:lang w:val="sv-SE"/>
        </w:rPr>
        <w:instrText xml:space="preserve"> SEQ Figur \* ARABIC </w:instrText>
      </w:r>
      <w:r w:rsidRPr="007E0B95">
        <w:rPr>
          <w:lang w:val="sv-SE"/>
        </w:rPr>
        <w:fldChar w:fldCharType="separate"/>
      </w:r>
      <w:r w:rsidR="006450EC">
        <w:rPr>
          <w:noProof/>
          <w:lang w:val="sv-SE"/>
        </w:rPr>
        <w:t>4</w:t>
      </w:r>
      <w:r w:rsidRPr="007E0B95">
        <w:rPr>
          <w:lang w:val="sv-SE"/>
        </w:rPr>
        <w:fldChar w:fldCharType="end"/>
      </w:r>
      <w:r w:rsidRPr="007E0B95">
        <w:rPr>
          <w:lang w:val="sv-SE"/>
        </w:rPr>
        <w:t>, boendeformer för unga vu</w:t>
      </w:r>
      <w:r w:rsidR="00271676" w:rsidRPr="007E0B95">
        <w:rPr>
          <w:lang w:val="sv-SE"/>
        </w:rPr>
        <w:t xml:space="preserve">xna som skaffat sig eget boende i </w:t>
      </w:r>
      <w:r w:rsidR="007F676A" w:rsidRPr="007E0B95">
        <w:rPr>
          <w:lang w:val="sv-SE"/>
        </w:rPr>
        <w:t>STorgöteborg</w:t>
      </w:r>
      <w:r w:rsidR="00271676" w:rsidRPr="007E0B95">
        <w:rPr>
          <w:lang w:val="sv-SE"/>
        </w:rPr>
        <w:t>.</w:t>
      </w:r>
    </w:p>
    <w:p w:rsidR="00882052" w:rsidRPr="007E0B95" w:rsidRDefault="00882052" w:rsidP="00D02960">
      <w:pPr>
        <w:pStyle w:val="Ingetavstnd"/>
      </w:pPr>
    </w:p>
    <w:p w:rsidR="00882052" w:rsidRPr="007E0B95" w:rsidRDefault="00882052" w:rsidP="00D02960">
      <w:pPr>
        <w:pStyle w:val="Ingetavstnd"/>
      </w:pPr>
    </w:p>
    <w:p w:rsidR="00882052" w:rsidRPr="007E0B95" w:rsidRDefault="00882052" w:rsidP="00D02960"/>
    <w:p w:rsidR="00B02124" w:rsidRPr="00BC18AC" w:rsidRDefault="00FC1E8E">
      <w:pPr>
        <w:pStyle w:val="Rubrik2"/>
        <w:rPr>
          <w:rFonts w:ascii="Arial" w:hAnsi="Arial" w:cs="Arial"/>
          <w:b/>
        </w:rPr>
      </w:pPr>
      <w:bookmarkStart w:id="12" w:name="_Toc481738292"/>
      <w:r w:rsidRPr="00BC18AC">
        <w:rPr>
          <w:rFonts w:ascii="Arial" w:hAnsi="Arial" w:cs="Arial"/>
          <w:b/>
        </w:rPr>
        <w:lastRenderedPageBreak/>
        <w:t>Boendekostnader</w:t>
      </w:r>
      <w:r w:rsidR="00344A0E" w:rsidRPr="00BC18AC">
        <w:rPr>
          <w:rFonts w:ascii="Arial" w:hAnsi="Arial" w:cs="Arial"/>
          <w:b/>
        </w:rPr>
        <w:t xml:space="preserve"> </w:t>
      </w:r>
      <w:r w:rsidRPr="00BC18AC">
        <w:rPr>
          <w:rFonts w:ascii="Arial" w:hAnsi="Arial" w:cs="Arial"/>
          <w:b/>
        </w:rPr>
        <w:t>för unga vuxna i eget boende</w:t>
      </w:r>
      <w:bookmarkEnd w:id="12"/>
    </w:p>
    <w:p w:rsidR="00073A0B" w:rsidRPr="007E0B95" w:rsidRDefault="007004F4" w:rsidP="00D02960">
      <w:r w:rsidRPr="007E0B95">
        <w:t>Boendekostnaderna varierar mellan olika boendeformer. Av störst intresse är medianboende</w:t>
      </w:r>
      <w:r w:rsidR="00882052" w:rsidRPr="007E0B95">
        <w:t>-</w:t>
      </w:r>
      <w:r w:rsidRPr="007E0B95">
        <w:t>kostnaderna (eftersom de inte påverkas av extrem</w:t>
      </w:r>
      <w:r w:rsidR="000F36A0">
        <w:t>a värden). I tabell 5</w:t>
      </w:r>
      <w:r w:rsidRPr="007E0B95">
        <w:t xml:space="preserve"> framgår det att den högsta medianboendekostnaden har de</w:t>
      </w:r>
      <w:r w:rsidR="00C316D3" w:rsidRPr="007E0B95">
        <w:t>m</w:t>
      </w:r>
      <w:r w:rsidRPr="007E0B95">
        <w:t xml:space="preserve"> som bor i </w:t>
      </w:r>
      <w:r w:rsidR="00C316D3" w:rsidRPr="007E0B95">
        <w:t>eget hus</w:t>
      </w:r>
      <w:r w:rsidRPr="007E0B95">
        <w:t xml:space="preserve">. </w:t>
      </w:r>
    </w:p>
    <w:p w:rsidR="00073A0B" w:rsidRPr="007E0B95" w:rsidRDefault="00073A0B" w:rsidP="00D02960">
      <w:pPr>
        <w:pStyle w:val="Ingetavstnd"/>
      </w:pPr>
    </w:p>
    <w:p w:rsidR="00892440" w:rsidRPr="007E0B95" w:rsidRDefault="00892440" w:rsidP="00D02960">
      <w:pPr>
        <w:pStyle w:val="Beskrivning"/>
        <w:spacing w:after="0"/>
        <w:rPr>
          <w:lang w:val="sv-SE"/>
        </w:rPr>
      </w:pPr>
      <w:r w:rsidRPr="007E0B95">
        <w:rPr>
          <w:lang w:val="sv-SE"/>
        </w:rPr>
        <w:t xml:space="preserve">Tabell </w:t>
      </w:r>
      <w:r w:rsidR="000B157D" w:rsidRPr="007E0B95">
        <w:rPr>
          <w:lang w:val="sv-SE"/>
        </w:rPr>
        <w:fldChar w:fldCharType="begin"/>
      </w:r>
      <w:r w:rsidR="000B157D" w:rsidRPr="007E0B95">
        <w:rPr>
          <w:lang w:val="sv-SE"/>
        </w:rPr>
        <w:instrText xml:space="preserve"> SEQ Tabell \* ARABIC </w:instrText>
      </w:r>
      <w:r w:rsidR="000B157D" w:rsidRPr="007E0B95">
        <w:rPr>
          <w:lang w:val="sv-SE"/>
        </w:rPr>
        <w:fldChar w:fldCharType="separate"/>
      </w:r>
      <w:r w:rsidR="006450EC">
        <w:rPr>
          <w:noProof/>
          <w:lang w:val="sv-SE"/>
        </w:rPr>
        <w:t>5</w:t>
      </w:r>
      <w:r w:rsidR="000B157D" w:rsidRPr="007E0B95">
        <w:rPr>
          <w:lang w:val="sv-SE"/>
        </w:rPr>
        <w:fldChar w:fldCharType="end"/>
      </w:r>
      <w:r w:rsidRPr="007E0B95">
        <w:rPr>
          <w:lang w:val="sv-SE"/>
        </w:rPr>
        <w:t>, boendekostnad för olika upplåtelseformer</w:t>
      </w:r>
      <w:r w:rsidR="00B077B5" w:rsidRPr="007E0B95">
        <w:rPr>
          <w:lang w:val="sv-SE"/>
        </w:rPr>
        <w:t xml:space="preserve">, </w:t>
      </w:r>
      <w:r w:rsidR="007C7B88" w:rsidRPr="007E0B95">
        <w:rPr>
          <w:lang w:val="sv-SE"/>
        </w:rPr>
        <w:t>storgöteborg</w:t>
      </w:r>
      <w:r w:rsidRPr="007E0B95">
        <w:rPr>
          <w:lang w:val="sv-SE"/>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2027"/>
        <w:gridCol w:w="1927"/>
      </w:tblGrid>
      <w:tr w:rsidR="00073A0B" w:rsidRPr="007E0B95" w:rsidTr="00E60CF4">
        <w:trPr>
          <w:trHeight w:val="300"/>
        </w:trPr>
        <w:tc>
          <w:tcPr>
            <w:tcW w:w="0" w:type="auto"/>
            <w:tcBorders>
              <w:top w:val="single" w:sz="4" w:space="0" w:color="auto"/>
              <w:bottom w:val="single" w:sz="4" w:space="0" w:color="auto"/>
            </w:tcBorders>
          </w:tcPr>
          <w:p w:rsidR="006221F2" w:rsidRPr="007E0B95" w:rsidRDefault="006221F2" w:rsidP="00D02960">
            <w:pPr>
              <w:rPr>
                <w:rFonts w:eastAsia="Times New Roman"/>
                <w:lang w:val="sv-SE"/>
              </w:rPr>
            </w:pPr>
          </w:p>
        </w:tc>
        <w:tc>
          <w:tcPr>
            <w:tcW w:w="0" w:type="auto"/>
            <w:tcBorders>
              <w:top w:val="single" w:sz="4" w:space="0" w:color="auto"/>
              <w:bottom w:val="single" w:sz="4" w:space="0" w:color="auto"/>
            </w:tcBorders>
            <w:vAlign w:val="center"/>
          </w:tcPr>
          <w:p w:rsidR="006221F2" w:rsidRPr="007E0B95" w:rsidRDefault="006221F2" w:rsidP="00D02960">
            <w:pPr>
              <w:rPr>
                <w:rFonts w:eastAsia="Times New Roman"/>
                <w:lang w:val="sv-SE"/>
              </w:rPr>
            </w:pPr>
            <w:r w:rsidRPr="007E0B95">
              <w:rPr>
                <w:rFonts w:eastAsia="Times New Roman"/>
                <w:lang w:val="sv-SE"/>
              </w:rPr>
              <w:t>Median</w:t>
            </w:r>
            <w:r w:rsidR="00892440" w:rsidRPr="007E0B95">
              <w:rPr>
                <w:rFonts w:eastAsia="Times New Roman"/>
                <w:lang w:val="sv-SE"/>
              </w:rPr>
              <w:t>boendekostnad</w:t>
            </w:r>
          </w:p>
        </w:tc>
        <w:tc>
          <w:tcPr>
            <w:tcW w:w="0" w:type="auto"/>
            <w:tcBorders>
              <w:top w:val="single" w:sz="4" w:space="0" w:color="auto"/>
              <w:bottom w:val="single" w:sz="4" w:space="0" w:color="auto"/>
            </w:tcBorders>
            <w:vAlign w:val="center"/>
          </w:tcPr>
          <w:p w:rsidR="006221F2" w:rsidRPr="007E0B95" w:rsidRDefault="00892440" w:rsidP="00D02960">
            <w:pPr>
              <w:rPr>
                <w:rFonts w:eastAsia="Times New Roman"/>
                <w:lang w:val="sv-SE"/>
              </w:rPr>
            </w:pPr>
            <w:r w:rsidRPr="007E0B95">
              <w:rPr>
                <w:rFonts w:eastAsia="Times New Roman"/>
                <w:lang w:val="sv-SE"/>
              </w:rPr>
              <w:t>Medelboendekostnad</w:t>
            </w:r>
          </w:p>
        </w:tc>
      </w:tr>
      <w:tr w:rsidR="00073A0B" w:rsidRPr="007E0B95" w:rsidTr="00E60CF4">
        <w:trPr>
          <w:trHeight w:val="300"/>
        </w:trPr>
        <w:tc>
          <w:tcPr>
            <w:tcW w:w="0" w:type="auto"/>
            <w:tcBorders>
              <w:top w:val="single" w:sz="4" w:space="0" w:color="auto"/>
            </w:tcBorders>
            <w:vAlign w:val="center"/>
          </w:tcPr>
          <w:p w:rsidR="00CB0E64" w:rsidRPr="007E0B95" w:rsidRDefault="00CB0E64" w:rsidP="00073A0B">
            <w:pPr>
              <w:rPr>
                <w:rFonts w:eastAsia="Times New Roman"/>
                <w:lang w:val="sv-SE"/>
              </w:rPr>
            </w:pPr>
            <w:r w:rsidRPr="007E0B95">
              <w:rPr>
                <w:rFonts w:eastAsia="Times New Roman"/>
                <w:lang w:val="sv-SE"/>
              </w:rPr>
              <w:t>Hyresrätt</w:t>
            </w:r>
          </w:p>
        </w:tc>
        <w:tc>
          <w:tcPr>
            <w:tcW w:w="0" w:type="auto"/>
            <w:tcBorders>
              <w:top w:val="single" w:sz="4" w:space="0" w:color="auto"/>
            </w:tcBorders>
            <w:vAlign w:val="center"/>
          </w:tcPr>
          <w:p w:rsidR="00CB0E64" w:rsidRPr="007E0B95" w:rsidRDefault="00CB0E64" w:rsidP="00D02960">
            <w:pPr>
              <w:rPr>
                <w:rFonts w:eastAsia="Times New Roman"/>
                <w:lang w:val="sv-SE"/>
              </w:rPr>
            </w:pPr>
            <w:r w:rsidRPr="007E0B95">
              <w:rPr>
                <w:rFonts w:eastAsia="Times New Roman"/>
                <w:lang w:val="sv-SE"/>
              </w:rPr>
              <w:t xml:space="preserve">5 </w:t>
            </w:r>
            <w:r w:rsidR="00C316D3" w:rsidRPr="007E0B95">
              <w:rPr>
                <w:rFonts w:eastAsia="Times New Roman"/>
                <w:lang w:val="sv-SE"/>
              </w:rPr>
              <w:t>3</w:t>
            </w:r>
            <w:r w:rsidRPr="007E0B95">
              <w:rPr>
                <w:rFonts w:eastAsia="Times New Roman"/>
                <w:lang w:val="sv-SE"/>
              </w:rPr>
              <w:t>00</w:t>
            </w:r>
          </w:p>
        </w:tc>
        <w:tc>
          <w:tcPr>
            <w:tcW w:w="0" w:type="auto"/>
            <w:tcBorders>
              <w:top w:val="single" w:sz="4" w:space="0" w:color="auto"/>
            </w:tcBorders>
            <w:vAlign w:val="center"/>
          </w:tcPr>
          <w:p w:rsidR="00CB0E64" w:rsidRPr="007E0B95" w:rsidRDefault="00C316D3" w:rsidP="00D02960">
            <w:pPr>
              <w:rPr>
                <w:rFonts w:eastAsia="Times New Roman"/>
                <w:lang w:val="sv-SE"/>
              </w:rPr>
            </w:pPr>
            <w:r w:rsidRPr="007E0B95">
              <w:rPr>
                <w:rFonts w:eastAsia="Times New Roman"/>
                <w:lang w:val="sv-SE"/>
              </w:rPr>
              <w:t>5 672</w:t>
            </w:r>
          </w:p>
        </w:tc>
      </w:tr>
      <w:tr w:rsidR="00073A0B" w:rsidRPr="007E0B95" w:rsidTr="00E60CF4">
        <w:trPr>
          <w:trHeight w:val="300"/>
        </w:trPr>
        <w:tc>
          <w:tcPr>
            <w:tcW w:w="0" w:type="auto"/>
            <w:vAlign w:val="center"/>
          </w:tcPr>
          <w:p w:rsidR="00CB0E64" w:rsidRPr="007E0B95" w:rsidRDefault="00CB0E64" w:rsidP="00073A0B">
            <w:pPr>
              <w:rPr>
                <w:rFonts w:eastAsia="Times New Roman"/>
                <w:lang w:val="sv-SE"/>
              </w:rPr>
            </w:pPr>
            <w:r w:rsidRPr="007E0B95">
              <w:rPr>
                <w:rFonts w:eastAsia="Times New Roman"/>
                <w:lang w:val="sv-SE"/>
              </w:rPr>
              <w:t>Bostadsrätt</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6 000</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5 997</w:t>
            </w:r>
          </w:p>
        </w:tc>
      </w:tr>
      <w:tr w:rsidR="00073A0B" w:rsidRPr="007E0B95" w:rsidTr="00E60CF4">
        <w:trPr>
          <w:trHeight w:val="300"/>
        </w:trPr>
        <w:tc>
          <w:tcPr>
            <w:tcW w:w="0" w:type="auto"/>
            <w:vAlign w:val="center"/>
          </w:tcPr>
          <w:p w:rsidR="00CB0E64" w:rsidRPr="007E0B95" w:rsidRDefault="00CB0E64" w:rsidP="00073A0B">
            <w:pPr>
              <w:rPr>
                <w:rFonts w:eastAsia="Times New Roman"/>
                <w:lang w:val="sv-SE"/>
              </w:rPr>
            </w:pPr>
            <w:r w:rsidRPr="007E0B95">
              <w:rPr>
                <w:rFonts w:eastAsia="Times New Roman"/>
                <w:lang w:val="sv-SE"/>
              </w:rPr>
              <w:t>Eget hus</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7 500</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7 795</w:t>
            </w:r>
          </w:p>
        </w:tc>
      </w:tr>
      <w:tr w:rsidR="00073A0B" w:rsidRPr="007E0B95" w:rsidTr="00E60CF4">
        <w:trPr>
          <w:trHeight w:val="300"/>
        </w:trPr>
        <w:tc>
          <w:tcPr>
            <w:tcW w:w="0" w:type="auto"/>
            <w:vAlign w:val="center"/>
          </w:tcPr>
          <w:p w:rsidR="00CB0E64" w:rsidRPr="007E0B95" w:rsidRDefault="00CB0E64" w:rsidP="00073A0B">
            <w:pPr>
              <w:rPr>
                <w:rFonts w:eastAsia="Times New Roman"/>
                <w:lang w:val="sv-SE"/>
              </w:rPr>
            </w:pPr>
            <w:r w:rsidRPr="007E0B95">
              <w:rPr>
                <w:rFonts w:eastAsia="Times New Roman"/>
                <w:lang w:val="sv-SE"/>
              </w:rPr>
              <w:t>Studentbostad</w:t>
            </w:r>
          </w:p>
        </w:tc>
        <w:tc>
          <w:tcPr>
            <w:tcW w:w="0" w:type="auto"/>
            <w:vAlign w:val="center"/>
          </w:tcPr>
          <w:p w:rsidR="00CB0E64" w:rsidRPr="007E0B95" w:rsidRDefault="00CB0E64" w:rsidP="00D02960">
            <w:pPr>
              <w:rPr>
                <w:rFonts w:eastAsia="Times New Roman"/>
                <w:lang w:val="sv-SE"/>
              </w:rPr>
            </w:pPr>
            <w:r w:rsidRPr="007E0B95">
              <w:rPr>
                <w:rFonts w:eastAsia="Times New Roman"/>
                <w:lang w:val="sv-SE"/>
              </w:rPr>
              <w:t xml:space="preserve">4 </w:t>
            </w:r>
            <w:r w:rsidR="00C316D3" w:rsidRPr="007E0B95">
              <w:rPr>
                <w:rFonts w:eastAsia="Times New Roman"/>
                <w:lang w:val="sv-SE"/>
              </w:rPr>
              <w:t>650</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4 776</w:t>
            </w:r>
          </w:p>
        </w:tc>
      </w:tr>
      <w:tr w:rsidR="00073A0B" w:rsidRPr="007E0B95" w:rsidTr="00E60CF4">
        <w:trPr>
          <w:trHeight w:val="300"/>
        </w:trPr>
        <w:tc>
          <w:tcPr>
            <w:tcW w:w="0" w:type="auto"/>
            <w:vAlign w:val="center"/>
          </w:tcPr>
          <w:p w:rsidR="00CB0E64" w:rsidRPr="007E0B95" w:rsidRDefault="00CB0E64" w:rsidP="00073A0B">
            <w:pPr>
              <w:rPr>
                <w:rFonts w:eastAsia="Times New Roman"/>
                <w:lang w:val="sv-SE"/>
              </w:rPr>
            </w:pPr>
            <w:r w:rsidRPr="007E0B95">
              <w:rPr>
                <w:rFonts w:eastAsia="Times New Roman"/>
                <w:lang w:val="sv-SE"/>
              </w:rPr>
              <w:t>2a/3e-hand</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5 500</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5 672</w:t>
            </w:r>
          </w:p>
        </w:tc>
      </w:tr>
      <w:tr w:rsidR="00073A0B" w:rsidRPr="007E0B95" w:rsidTr="00E60CF4">
        <w:trPr>
          <w:trHeight w:val="300"/>
        </w:trPr>
        <w:tc>
          <w:tcPr>
            <w:tcW w:w="0" w:type="auto"/>
            <w:vAlign w:val="center"/>
          </w:tcPr>
          <w:p w:rsidR="00CB0E64" w:rsidRPr="007E0B95" w:rsidRDefault="00CB0E64" w:rsidP="00073A0B">
            <w:pPr>
              <w:rPr>
                <w:rFonts w:eastAsia="Times New Roman"/>
                <w:lang w:val="sv-SE"/>
              </w:rPr>
            </w:pPr>
            <w:r w:rsidRPr="007E0B95">
              <w:rPr>
                <w:rFonts w:eastAsia="Times New Roman"/>
                <w:lang w:val="sv-SE"/>
              </w:rPr>
              <w:t>Inneboende</w:t>
            </w:r>
          </w:p>
        </w:tc>
        <w:tc>
          <w:tcPr>
            <w:tcW w:w="0" w:type="auto"/>
            <w:vAlign w:val="center"/>
          </w:tcPr>
          <w:p w:rsidR="00CB0E64" w:rsidRPr="007E0B95" w:rsidRDefault="00CB0E64" w:rsidP="00D02960">
            <w:pPr>
              <w:rPr>
                <w:rFonts w:eastAsia="Times New Roman"/>
                <w:lang w:val="sv-SE"/>
              </w:rPr>
            </w:pPr>
            <w:r w:rsidRPr="007E0B95">
              <w:rPr>
                <w:rFonts w:eastAsia="Times New Roman"/>
                <w:lang w:val="sv-SE"/>
              </w:rPr>
              <w:t xml:space="preserve">3 </w:t>
            </w:r>
            <w:r w:rsidR="00C316D3" w:rsidRPr="007E0B95">
              <w:rPr>
                <w:rFonts w:eastAsia="Times New Roman"/>
                <w:lang w:val="sv-SE"/>
              </w:rPr>
              <w:t>800</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4 050</w:t>
            </w:r>
          </w:p>
        </w:tc>
      </w:tr>
      <w:tr w:rsidR="00073A0B" w:rsidRPr="007E0B95" w:rsidTr="00E60CF4">
        <w:trPr>
          <w:trHeight w:val="300"/>
        </w:trPr>
        <w:tc>
          <w:tcPr>
            <w:tcW w:w="0" w:type="auto"/>
            <w:vAlign w:val="center"/>
          </w:tcPr>
          <w:p w:rsidR="00CB0E64" w:rsidRPr="007E0B95" w:rsidRDefault="00CB0E64" w:rsidP="00073A0B">
            <w:pPr>
              <w:rPr>
                <w:rFonts w:eastAsia="Times New Roman"/>
                <w:lang w:val="sv-SE"/>
              </w:rPr>
            </w:pPr>
            <w:r w:rsidRPr="007E0B95">
              <w:rPr>
                <w:rFonts w:eastAsia="Times New Roman"/>
                <w:lang w:val="sv-SE"/>
              </w:rPr>
              <w:t>Annat</w:t>
            </w:r>
          </w:p>
        </w:tc>
        <w:tc>
          <w:tcPr>
            <w:tcW w:w="0" w:type="auto"/>
            <w:vAlign w:val="center"/>
          </w:tcPr>
          <w:p w:rsidR="00CB0E64" w:rsidRPr="007E0B95" w:rsidRDefault="00C316D3" w:rsidP="00D02960">
            <w:pPr>
              <w:rPr>
                <w:rFonts w:eastAsia="Times New Roman"/>
                <w:lang w:val="sv-SE"/>
              </w:rPr>
            </w:pPr>
            <w:r w:rsidRPr="007E0B95">
              <w:rPr>
                <w:rFonts w:eastAsia="Times New Roman"/>
                <w:lang w:val="sv-SE"/>
              </w:rPr>
              <w:t>6 800</w:t>
            </w:r>
          </w:p>
        </w:tc>
        <w:tc>
          <w:tcPr>
            <w:tcW w:w="0" w:type="auto"/>
            <w:vAlign w:val="center"/>
          </w:tcPr>
          <w:p w:rsidR="00CB0E64" w:rsidRPr="007E0B95" w:rsidRDefault="00CB0E64" w:rsidP="00D02960">
            <w:pPr>
              <w:rPr>
                <w:rFonts w:eastAsia="Times New Roman"/>
                <w:lang w:val="sv-SE"/>
              </w:rPr>
            </w:pPr>
            <w:r w:rsidRPr="007E0B95">
              <w:rPr>
                <w:rFonts w:eastAsia="Times New Roman"/>
                <w:lang w:val="sv-SE"/>
              </w:rPr>
              <w:t>N/A*</w:t>
            </w:r>
          </w:p>
        </w:tc>
      </w:tr>
      <w:tr w:rsidR="00073A0B" w:rsidRPr="007E0B95" w:rsidTr="00E60CF4">
        <w:trPr>
          <w:trHeight w:val="300"/>
        </w:trPr>
        <w:tc>
          <w:tcPr>
            <w:tcW w:w="0" w:type="auto"/>
            <w:tcBorders>
              <w:bottom w:val="single" w:sz="4" w:space="0" w:color="auto"/>
            </w:tcBorders>
            <w:vAlign w:val="center"/>
          </w:tcPr>
          <w:p w:rsidR="006221F2" w:rsidRPr="007E0B95" w:rsidRDefault="006221F2" w:rsidP="00073A0B">
            <w:pPr>
              <w:rPr>
                <w:rFonts w:eastAsia="Times New Roman"/>
                <w:lang w:val="sv-SE"/>
              </w:rPr>
            </w:pPr>
            <w:r w:rsidRPr="007E0B95">
              <w:rPr>
                <w:rFonts w:eastAsia="Times New Roman"/>
                <w:lang w:val="sv-SE"/>
              </w:rPr>
              <w:t>Samtliga boendeformer</w:t>
            </w:r>
          </w:p>
        </w:tc>
        <w:tc>
          <w:tcPr>
            <w:tcW w:w="0" w:type="auto"/>
            <w:tcBorders>
              <w:bottom w:val="single" w:sz="4" w:space="0" w:color="auto"/>
            </w:tcBorders>
          </w:tcPr>
          <w:p w:rsidR="006221F2" w:rsidRPr="007E0B95" w:rsidRDefault="00C316D3" w:rsidP="00D02960">
            <w:pPr>
              <w:rPr>
                <w:rFonts w:eastAsia="Times New Roman"/>
                <w:lang w:val="sv-SE"/>
              </w:rPr>
            </w:pPr>
            <w:r w:rsidRPr="007E0B95">
              <w:rPr>
                <w:rFonts w:eastAsia="Times New Roman"/>
                <w:lang w:val="sv-SE"/>
              </w:rPr>
              <w:t>5 000</w:t>
            </w:r>
          </w:p>
        </w:tc>
        <w:tc>
          <w:tcPr>
            <w:tcW w:w="0" w:type="auto"/>
            <w:tcBorders>
              <w:bottom w:val="single" w:sz="4" w:space="0" w:color="auto"/>
            </w:tcBorders>
          </w:tcPr>
          <w:p w:rsidR="006221F2" w:rsidRPr="007E0B95" w:rsidRDefault="00C316D3" w:rsidP="00D02960">
            <w:pPr>
              <w:rPr>
                <w:rFonts w:eastAsia="Times New Roman"/>
                <w:lang w:val="sv-SE"/>
              </w:rPr>
            </w:pPr>
            <w:r w:rsidRPr="007E0B95">
              <w:rPr>
                <w:rFonts w:eastAsia="Times New Roman"/>
                <w:lang w:val="sv-SE"/>
              </w:rPr>
              <w:t>5 502</w:t>
            </w:r>
          </w:p>
        </w:tc>
      </w:tr>
    </w:tbl>
    <w:p w:rsidR="00B02124" w:rsidRPr="007E0B95" w:rsidRDefault="00474A83" w:rsidP="00D02960">
      <w:pPr>
        <w:pStyle w:val="Grundtextindrag"/>
        <w:rPr>
          <w:lang w:eastAsia="sv-SE"/>
        </w:rPr>
      </w:pPr>
      <w:r w:rsidRPr="007E0B95">
        <w:rPr>
          <w:lang w:eastAsia="sv-SE"/>
        </w:rPr>
        <w:t>* För litet underlag för att säkerställa statistiskt.</w:t>
      </w:r>
    </w:p>
    <w:p w:rsidR="00B077B5" w:rsidRPr="007E0B95" w:rsidRDefault="00B077B5" w:rsidP="00D02960"/>
    <w:p w:rsidR="00B02124" w:rsidRPr="007E0B95" w:rsidRDefault="00B077B5">
      <w:r w:rsidRPr="007E0B95">
        <w:t xml:space="preserve">Stora skillnader mellan median- och medelvärden för boendekostnader är en indikation på att boendekostnaderna är ojämnt fördelade, så att vissa har mycket höga kostnader vilket drar iväg medelvärdet uppåt. I </w:t>
      </w:r>
      <w:r w:rsidR="00C316D3" w:rsidRPr="007E0B95">
        <w:t>Storgöteborg</w:t>
      </w:r>
      <w:r w:rsidRPr="007E0B95">
        <w:t xml:space="preserve"> gäller det framförallt dem som bor i </w:t>
      </w:r>
      <w:r w:rsidR="00C316D3" w:rsidRPr="007E0B95">
        <w:t>eget hus</w:t>
      </w:r>
      <w:r w:rsidRPr="007E0B95">
        <w:t>.</w:t>
      </w:r>
    </w:p>
    <w:p w:rsidR="00FB567A" w:rsidRPr="00BC18AC" w:rsidRDefault="00882052" w:rsidP="00073A0B">
      <w:pPr>
        <w:pStyle w:val="Rubrik2"/>
        <w:rPr>
          <w:rFonts w:ascii="Arial" w:hAnsi="Arial" w:cs="Arial"/>
          <w:b/>
        </w:rPr>
      </w:pPr>
      <w:bookmarkStart w:id="13" w:name="_Toc481738293"/>
      <w:r w:rsidRPr="00BC18AC">
        <w:rPr>
          <w:rFonts w:ascii="Arial" w:hAnsi="Arial" w:cs="Arial"/>
          <w:b/>
        </w:rPr>
        <w:t>Utmaningar</w:t>
      </w:r>
      <w:r w:rsidR="00FB567A" w:rsidRPr="00BC18AC">
        <w:rPr>
          <w:rFonts w:ascii="Arial" w:hAnsi="Arial" w:cs="Arial"/>
          <w:b/>
        </w:rPr>
        <w:t xml:space="preserve"> för unga vuxna med eget boende</w:t>
      </w:r>
      <w:bookmarkEnd w:id="13"/>
    </w:p>
    <w:p w:rsidR="002B0849" w:rsidRPr="007E0B95" w:rsidRDefault="007004F4" w:rsidP="00D02960">
      <w:r w:rsidRPr="007E0B95">
        <w:t xml:space="preserve">När man flyttar hemifrån ökar i allmänhet de resurser man kan förfoga över, men också de kostnader och risker man måste bära. </w:t>
      </w:r>
      <w:r w:rsidR="002B0849" w:rsidRPr="007E0B95">
        <w:t>Det</w:t>
      </w:r>
      <w:r w:rsidRPr="007E0B95">
        <w:t xml:space="preserve"> är i grunden </w:t>
      </w:r>
      <w:r w:rsidR="002B0849" w:rsidRPr="007E0B95">
        <w:t xml:space="preserve">väldigt </w:t>
      </w:r>
      <w:r w:rsidRPr="007E0B95">
        <w:t>positivt och hör</w:t>
      </w:r>
      <w:r w:rsidR="002B0849" w:rsidRPr="007E0B95">
        <w:t xml:space="preserve"> vuxenlivet</w:t>
      </w:r>
      <w:r w:rsidRPr="007E0B95">
        <w:t xml:space="preserve"> </w:t>
      </w:r>
      <w:r w:rsidR="002B0849" w:rsidRPr="007E0B95">
        <w:t>till</w:t>
      </w:r>
      <w:r w:rsidRPr="007E0B95">
        <w:t xml:space="preserve">. </w:t>
      </w:r>
      <w:r w:rsidR="0000619A" w:rsidRPr="007E0B95">
        <w:t>Vad utsatthetsindikatorerna</w:t>
      </w:r>
      <w:r w:rsidR="002B0849" w:rsidRPr="007E0B95">
        <w:t xml:space="preserve"> visar </w:t>
      </w:r>
      <w:r w:rsidRPr="007E0B95">
        <w:t xml:space="preserve">är </w:t>
      </w:r>
      <w:r w:rsidR="0000619A" w:rsidRPr="007E0B95">
        <w:t>dock vad som händer</w:t>
      </w:r>
      <w:r w:rsidR="004E66D5">
        <w:t xml:space="preserve"> om </w:t>
      </w:r>
      <w:r w:rsidR="004E66D5" w:rsidRPr="007E0B95">
        <w:t>man</w:t>
      </w:r>
      <w:r w:rsidRPr="007E0B95">
        <w:t xml:space="preserve"> </w:t>
      </w:r>
      <w:r w:rsidR="00B077B5" w:rsidRPr="007E0B95">
        <w:t xml:space="preserve">däremot </w:t>
      </w:r>
      <w:r w:rsidRPr="007E0B95">
        <w:t>fråntas</w:t>
      </w:r>
      <w:r w:rsidR="00B077B5" w:rsidRPr="007E0B95">
        <w:t xml:space="preserve"> </w:t>
      </w:r>
      <w:r w:rsidRPr="007E0B95">
        <w:t xml:space="preserve">det ”vanliga” vuxenlivets möjligheter. </w:t>
      </w:r>
    </w:p>
    <w:p w:rsidR="007004F4" w:rsidRPr="007E0B95" w:rsidRDefault="00B077B5" w:rsidP="00D02960">
      <w:r w:rsidRPr="007E0B95">
        <w:t xml:space="preserve">De flesta möter någon gång under sitt liv på svårigheter eller hamnar under en nivå som är kritiskt låg (eller hög) utan att det på lite längre sikt behöver försämra ens livschanser i stort. Vad vi </w:t>
      </w:r>
      <w:r w:rsidR="002B0849" w:rsidRPr="007E0B95">
        <w:t xml:space="preserve">ska </w:t>
      </w:r>
      <w:r w:rsidRPr="007E0B95">
        <w:t>visa</w:t>
      </w:r>
      <w:r w:rsidR="002B0849" w:rsidRPr="007E0B95">
        <w:t xml:space="preserve"> </w:t>
      </w:r>
      <w:r w:rsidRPr="007E0B95">
        <w:t xml:space="preserve">senare i rapporten är emellertid att svårigheter har en tendens att klumpa ihop sig. </w:t>
      </w:r>
      <w:r w:rsidR="002B0849" w:rsidRPr="007E0B95">
        <w:t>Om en person saknar</w:t>
      </w:r>
      <w:r w:rsidR="004E66D5">
        <w:t xml:space="preserve"> en möjlighet är det</w:t>
      </w:r>
      <w:r w:rsidRPr="007E0B95">
        <w:t xml:space="preserve"> troligare att man </w:t>
      </w:r>
      <w:r w:rsidR="002B0849" w:rsidRPr="007E0B95">
        <w:t xml:space="preserve">också saknar </w:t>
      </w:r>
      <w:r w:rsidRPr="007E0B95">
        <w:t xml:space="preserve">andra </w:t>
      </w:r>
      <w:r w:rsidR="002B0849" w:rsidRPr="007E0B95">
        <w:t xml:space="preserve">typer av </w:t>
      </w:r>
      <w:r w:rsidRPr="007E0B95">
        <w:t>möjligheter.</w:t>
      </w:r>
      <w:r w:rsidR="003A57FB" w:rsidRPr="007E0B95">
        <w:t xml:space="preserve"> Här redovisar vi inledningsvis genomsnittliga nivåer på indikatorer för hela gruppen unga vuxna med eget boende i </w:t>
      </w:r>
      <w:r w:rsidR="00B653F8" w:rsidRPr="007E0B95">
        <w:t>Storgöteborg</w:t>
      </w:r>
      <w:r w:rsidR="003A57FB" w:rsidRPr="007E0B95">
        <w:t>.</w:t>
      </w:r>
    </w:p>
    <w:p w:rsidR="00BB16A2" w:rsidRPr="007E0B95" w:rsidRDefault="002B0849" w:rsidP="00D02960">
      <w:r w:rsidRPr="007E0B95">
        <w:t xml:space="preserve">Vi har i undersökningen tagit hänsyn till de svarandes olika anställningsformer. </w:t>
      </w:r>
      <w:r w:rsidR="003A57FB" w:rsidRPr="007E0B95">
        <w:t>Med osäker anställningsform avser vi tidsbegränsade anställningar, anställning utan anställningskontrakt, samt deltagande i arbetsmarknadsåtgärder. Siffran för osäkra anställningsformer är konservativ</w:t>
      </w:r>
      <w:r w:rsidRPr="007E0B95">
        <w:t>t räknad, bland annat</w:t>
      </w:r>
      <w:r w:rsidR="004E66D5">
        <w:t xml:space="preserve"> eftersom vi</w:t>
      </w:r>
      <w:r w:rsidR="003A57FB" w:rsidRPr="007E0B95">
        <w:t xml:space="preserve"> i gruppen</w:t>
      </w:r>
      <w:r w:rsidR="004E66D5">
        <w:t xml:space="preserve"> inte</w:t>
      </w:r>
      <w:r w:rsidR="003A57FB" w:rsidRPr="007E0B95">
        <w:t xml:space="preserve"> inkluderar dem som har eget företag. </w:t>
      </w:r>
    </w:p>
    <w:p w:rsidR="00BB16A2" w:rsidRPr="007E0B95" w:rsidRDefault="003A57FB">
      <w:r w:rsidRPr="007E0B95">
        <w:t>Med osäkra boendeformer avser vi inneboende</w:t>
      </w:r>
      <w:r w:rsidR="00396FFA" w:rsidRPr="007E0B95">
        <w:t xml:space="preserve"> och boende med</w:t>
      </w:r>
      <w:r w:rsidRPr="007E0B95">
        <w:t xml:space="preserve"> 2a- eller 3e</w:t>
      </w:r>
      <w:r w:rsidR="002B0849" w:rsidRPr="007E0B95">
        <w:t>-</w:t>
      </w:r>
      <w:r w:rsidRPr="007E0B95">
        <w:t>handskontrakt (eller högre)</w:t>
      </w:r>
      <w:r w:rsidR="00BB16A2" w:rsidRPr="007E0B95">
        <w:t xml:space="preserve">. </w:t>
      </w:r>
      <w:r w:rsidRPr="007E0B95">
        <w:t xml:space="preserve">Vi inkluderar </w:t>
      </w:r>
      <w:r w:rsidRPr="007E0B95">
        <w:rPr>
          <w:i/>
        </w:rPr>
        <w:t>inte</w:t>
      </w:r>
      <w:r w:rsidRPr="007E0B95">
        <w:t xml:space="preserve"> studentbostäder </w:t>
      </w:r>
      <w:r w:rsidR="00BB16A2" w:rsidRPr="007E0B95">
        <w:t>i kategorin osäkra</w:t>
      </w:r>
      <w:r w:rsidRPr="007E0B95">
        <w:t xml:space="preserve"> boendeform</w:t>
      </w:r>
      <w:r w:rsidR="00BB16A2" w:rsidRPr="007E0B95">
        <w:t xml:space="preserve">er, </w:t>
      </w:r>
      <w:r w:rsidRPr="007E0B95">
        <w:t xml:space="preserve">trots att </w:t>
      </w:r>
      <w:r w:rsidR="00BB16A2" w:rsidRPr="007E0B95">
        <w:t xml:space="preserve">studentbostäder är </w:t>
      </w:r>
      <w:r w:rsidRPr="007E0B95">
        <w:t>ett tidsbegränsat boende utan den vanliga</w:t>
      </w:r>
      <w:r w:rsidR="002B0849" w:rsidRPr="007E0B95">
        <w:t xml:space="preserve"> besittningsrätt och</w:t>
      </w:r>
      <w:r w:rsidRPr="007E0B95">
        <w:t xml:space="preserve"> bytesrätt som gäller för </w:t>
      </w:r>
      <w:r w:rsidR="00C136C0" w:rsidRPr="007E0B95">
        <w:t>h</w:t>
      </w:r>
      <w:r w:rsidR="004E66D5">
        <w:t>yresrätter. Anledningen är</w:t>
      </w:r>
      <w:r w:rsidRPr="007E0B95">
        <w:t xml:space="preserve"> de speciella förutsättningarna </w:t>
      </w:r>
      <w:r w:rsidR="00BB16A2" w:rsidRPr="007E0B95">
        <w:t xml:space="preserve">och formerna som gäller för denna upplåtelseform. När man bor i studentbostad gör man det under en period i livet när man har knappa ekonomiska resurser, men samtidigt som man genom sin utbildning </w:t>
      </w:r>
      <w:r w:rsidR="00667D8D" w:rsidRPr="007E0B95">
        <w:t xml:space="preserve">bygger upp </w:t>
      </w:r>
      <w:r w:rsidR="00BB16A2" w:rsidRPr="007E0B95">
        <w:t>ett betydande intellektuellt kapital</w:t>
      </w:r>
      <w:r w:rsidR="00667D8D" w:rsidRPr="007E0B95">
        <w:t>, och därmed investerar i sin egen framtid och jobbmöjlighet</w:t>
      </w:r>
      <w:r w:rsidR="00BB16A2" w:rsidRPr="007E0B95">
        <w:t>. Studentbostaden som boendeform erbjuder studenter möjlighet</w:t>
      </w:r>
      <w:r w:rsidR="00667D8D" w:rsidRPr="007E0B95">
        <w:t>en</w:t>
      </w:r>
      <w:r w:rsidR="00BB16A2" w:rsidRPr="007E0B95">
        <w:t xml:space="preserve"> </w:t>
      </w:r>
      <w:r w:rsidR="004E66D5">
        <w:t xml:space="preserve">att bo </w:t>
      </w:r>
      <w:r w:rsidR="00BB16A2" w:rsidRPr="007E0B95">
        <w:t xml:space="preserve">till (förhållandevis) låga kostnader och </w:t>
      </w:r>
      <w:r w:rsidR="004E66D5">
        <w:t xml:space="preserve">under </w:t>
      </w:r>
      <w:r w:rsidR="00BB16A2" w:rsidRPr="007E0B95">
        <w:t xml:space="preserve">trygga former. </w:t>
      </w:r>
      <w:r w:rsidR="00396FFA" w:rsidRPr="007E0B95">
        <w:t xml:space="preserve">Studentbostäder ingår däremot i </w:t>
      </w:r>
      <w:r w:rsidR="00BB16A2" w:rsidRPr="007E0B95">
        <w:t xml:space="preserve">kategorin tidsbegränsat </w:t>
      </w:r>
      <w:r w:rsidR="00396FFA" w:rsidRPr="007E0B95">
        <w:t>boende</w:t>
      </w:r>
      <w:r w:rsidR="00BB16A2" w:rsidRPr="007E0B95">
        <w:t xml:space="preserve">. </w:t>
      </w:r>
    </w:p>
    <w:p w:rsidR="00073A0B" w:rsidRDefault="00073A0B" w:rsidP="00D02960">
      <w:pPr>
        <w:pStyle w:val="Ingetavstnd"/>
      </w:pPr>
    </w:p>
    <w:p w:rsidR="009A7619" w:rsidRDefault="009A7619" w:rsidP="00D02960">
      <w:pPr>
        <w:pStyle w:val="Ingetavstnd"/>
      </w:pPr>
    </w:p>
    <w:p w:rsidR="009A7619" w:rsidRPr="007E0B95" w:rsidRDefault="009A7619" w:rsidP="00D02960">
      <w:pPr>
        <w:pStyle w:val="Ingetavstnd"/>
      </w:pPr>
    </w:p>
    <w:p w:rsidR="00083AFE" w:rsidRPr="007E0B95" w:rsidRDefault="00083AFE" w:rsidP="00FB567A">
      <w:pPr>
        <w:pStyle w:val="Ingetavstnd"/>
      </w:pPr>
    </w:p>
    <w:p w:rsidR="006B3BBB" w:rsidRPr="007E0B95" w:rsidRDefault="006B3BBB" w:rsidP="00D02960">
      <w:pPr>
        <w:pStyle w:val="Beskrivning"/>
        <w:spacing w:after="0"/>
        <w:rPr>
          <w:lang w:val="sv-SE"/>
        </w:rPr>
      </w:pPr>
      <w:r w:rsidRPr="007E0B95">
        <w:rPr>
          <w:lang w:val="sv-SE"/>
        </w:rPr>
        <w:t xml:space="preserve">Tabell </w:t>
      </w:r>
      <w:r w:rsidRPr="007E0B95">
        <w:rPr>
          <w:lang w:val="sv-SE"/>
        </w:rPr>
        <w:fldChar w:fldCharType="begin"/>
      </w:r>
      <w:r w:rsidRPr="007E0B95">
        <w:rPr>
          <w:lang w:val="sv-SE"/>
        </w:rPr>
        <w:instrText xml:space="preserve"> SEQ Tabell \* ARABIC </w:instrText>
      </w:r>
      <w:r w:rsidRPr="007E0B95">
        <w:rPr>
          <w:lang w:val="sv-SE"/>
        </w:rPr>
        <w:fldChar w:fldCharType="separate"/>
      </w:r>
      <w:r w:rsidR="006450EC">
        <w:rPr>
          <w:noProof/>
          <w:lang w:val="sv-SE"/>
        </w:rPr>
        <w:t>6</w:t>
      </w:r>
      <w:r w:rsidRPr="007E0B95">
        <w:rPr>
          <w:lang w:val="sv-SE"/>
        </w:rPr>
        <w:fldChar w:fldCharType="end"/>
      </w:r>
      <w:r w:rsidRPr="007E0B95">
        <w:rPr>
          <w:lang w:val="sv-SE"/>
        </w:rPr>
        <w:t xml:space="preserve">, </w:t>
      </w:r>
      <w:r w:rsidR="0000619A" w:rsidRPr="007E0B95">
        <w:rPr>
          <w:lang w:val="sv-SE"/>
        </w:rPr>
        <w:t xml:space="preserve">UTSATTHETSindikatorer </w:t>
      </w:r>
      <w:r w:rsidRPr="007E0B95">
        <w:rPr>
          <w:lang w:val="sv-SE"/>
        </w:rPr>
        <w:t>för unga vuxna med eget boende</w:t>
      </w:r>
      <w:r w:rsidR="002F4343" w:rsidRPr="007E0B95">
        <w:rPr>
          <w:lang w:val="sv-SE"/>
        </w:rPr>
        <w:t xml:space="preserve">, </w:t>
      </w:r>
      <w:r w:rsidR="007C7B88" w:rsidRPr="007E0B95">
        <w:rPr>
          <w:lang w:val="sv-SE"/>
        </w:rPr>
        <w:t>storgöteborg</w:t>
      </w:r>
      <w:r w:rsidRPr="007E0B95">
        <w:rPr>
          <w:lang w:val="sv-SE"/>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372"/>
        <w:gridCol w:w="1424"/>
      </w:tblGrid>
      <w:tr w:rsidR="00F43DEB" w:rsidRPr="00F43DEB" w:rsidTr="00F43DEB">
        <w:trPr>
          <w:trHeight w:val="300"/>
        </w:trPr>
        <w:tc>
          <w:tcPr>
            <w:tcW w:w="0" w:type="auto"/>
            <w:tcBorders>
              <w:top w:val="single" w:sz="4" w:space="0" w:color="auto"/>
              <w:bottom w:val="single" w:sz="4" w:space="0" w:color="auto"/>
            </w:tcBorders>
            <w:vAlign w:val="center"/>
          </w:tcPr>
          <w:p w:rsidR="008A6C85" w:rsidRPr="00F43DEB" w:rsidRDefault="008A6C85" w:rsidP="00F43DEB">
            <w:pPr>
              <w:pStyle w:val="Ingetavstnd"/>
              <w:jc w:val="right"/>
              <w:rPr>
                <w:rFonts w:asciiTheme="minorHAnsi" w:hAnsiTheme="minorHAnsi" w:cstheme="minorHAnsi"/>
                <w:lang w:val="sv-SE"/>
              </w:rPr>
            </w:pPr>
          </w:p>
        </w:tc>
        <w:tc>
          <w:tcPr>
            <w:tcW w:w="0" w:type="auto"/>
            <w:tcBorders>
              <w:top w:val="single" w:sz="4" w:space="0" w:color="auto"/>
              <w:bottom w:val="single" w:sz="4" w:space="0" w:color="auto"/>
            </w:tcBorders>
            <w:vAlign w:val="center"/>
          </w:tcPr>
          <w:p w:rsidR="008A6C85" w:rsidRPr="00F43DEB" w:rsidRDefault="008A6C85" w:rsidP="00F43DEB">
            <w:pPr>
              <w:pStyle w:val="Ingetavstnd"/>
              <w:jc w:val="right"/>
              <w:rPr>
                <w:rFonts w:asciiTheme="minorHAnsi" w:hAnsiTheme="minorHAnsi" w:cstheme="minorHAnsi"/>
                <w:lang w:val="sv-SE"/>
              </w:rPr>
            </w:pPr>
            <w:r w:rsidRPr="00F43DEB">
              <w:rPr>
                <w:rFonts w:asciiTheme="minorHAnsi" w:hAnsiTheme="minorHAnsi" w:cstheme="minorHAnsi"/>
                <w:lang w:val="sv-SE"/>
              </w:rPr>
              <w:t>Andel av unga vuxna med eget boende</w:t>
            </w:r>
          </w:p>
        </w:tc>
        <w:tc>
          <w:tcPr>
            <w:tcW w:w="0" w:type="auto"/>
            <w:tcBorders>
              <w:top w:val="single" w:sz="4" w:space="0" w:color="auto"/>
              <w:bottom w:val="single" w:sz="4" w:space="0" w:color="auto"/>
            </w:tcBorders>
            <w:vAlign w:val="center"/>
          </w:tcPr>
          <w:p w:rsidR="008A6C85" w:rsidRPr="00F43DEB" w:rsidRDefault="008A6C85" w:rsidP="00F43DEB">
            <w:pPr>
              <w:pStyle w:val="Ingetavstnd"/>
              <w:jc w:val="right"/>
              <w:rPr>
                <w:rFonts w:asciiTheme="minorHAnsi" w:hAnsiTheme="minorHAnsi" w:cstheme="minorHAnsi"/>
                <w:lang w:val="sv-SE"/>
              </w:rPr>
            </w:pPr>
            <w:r w:rsidRPr="00F43DEB">
              <w:rPr>
                <w:rFonts w:asciiTheme="minorHAnsi" w:hAnsiTheme="minorHAnsi" w:cstheme="minorHAnsi"/>
                <w:lang w:val="sv-SE"/>
              </w:rPr>
              <w:t xml:space="preserve">Antal </w:t>
            </w:r>
            <w:r w:rsidR="004E66D5">
              <w:rPr>
                <w:rFonts w:asciiTheme="minorHAnsi" w:hAnsiTheme="minorHAnsi" w:cstheme="minorHAnsi"/>
                <w:lang w:val="sv-SE"/>
              </w:rPr>
              <w:t>personer</w:t>
            </w:r>
          </w:p>
        </w:tc>
      </w:tr>
      <w:tr w:rsidR="00F43DEB" w:rsidRPr="00F43DEB" w:rsidTr="00F43DEB">
        <w:trPr>
          <w:trHeight w:val="300"/>
        </w:trPr>
        <w:tc>
          <w:tcPr>
            <w:tcW w:w="0" w:type="auto"/>
            <w:tcBorders>
              <w:top w:val="single" w:sz="4" w:space="0" w:color="auto"/>
            </w:tcBorders>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Har ej tillgång till eget rum</w:t>
            </w:r>
          </w:p>
        </w:tc>
        <w:tc>
          <w:tcPr>
            <w:tcW w:w="0" w:type="auto"/>
            <w:tcBorders>
              <w:top w:val="single" w:sz="4" w:space="0" w:color="auto"/>
            </w:tcBorders>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28,3 %</w:t>
            </w:r>
          </w:p>
        </w:tc>
        <w:tc>
          <w:tcPr>
            <w:tcW w:w="0" w:type="auto"/>
            <w:tcBorders>
              <w:top w:val="single" w:sz="4" w:space="0" w:color="auto"/>
            </w:tcBorders>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24163</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Arbetslös</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2,0 %</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1708</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Osäker anställningsform</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12,4 %</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10587</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Vet ej inkomst nästkommande månad</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17,4 %</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14856</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Kan ej få ekonomisk hjälp med bostadsköp</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44,3 %</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37824</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Kan ej få hjälp med borgenär vid bostadsköp</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26,6 %</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22712</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Kan ej få hjälp med boendekostnad</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17,5 %</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14942</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Bor i osäkra boendeformer</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26,4 %</w:t>
            </w:r>
          </w:p>
        </w:tc>
        <w:tc>
          <w:tcPr>
            <w:tcW w:w="0" w:type="auto"/>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22541</w:t>
            </w:r>
          </w:p>
        </w:tc>
      </w:tr>
      <w:tr w:rsidR="00F43DEB" w:rsidRPr="00F43DEB" w:rsidTr="00F43DEB">
        <w:trPr>
          <w:trHeight w:val="300"/>
        </w:trPr>
        <w:tc>
          <w:tcPr>
            <w:tcW w:w="0" w:type="auto"/>
            <w:vAlign w:val="center"/>
          </w:tcPr>
          <w:p w:rsidR="00F43DEB" w:rsidRPr="00F43DEB" w:rsidRDefault="00F43DEB" w:rsidP="00F43DEB">
            <w:pPr>
              <w:pStyle w:val="Ingetavstnd"/>
              <w:jc w:val="left"/>
              <w:rPr>
                <w:rFonts w:asciiTheme="minorHAnsi" w:hAnsiTheme="minorHAnsi" w:cstheme="minorHAnsi"/>
              </w:rPr>
            </w:pPr>
            <w:r w:rsidRPr="00F43DEB">
              <w:rPr>
                <w:rFonts w:asciiTheme="minorHAnsi" w:hAnsiTheme="minorHAnsi" w:cstheme="minorHAnsi"/>
                <w:lang w:val="sv-SE"/>
              </w:rPr>
              <w:t>Bor i tidsbegränsat boende</w:t>
            </w:r>
          </w:p>
        </w:tc>
        <w:tc>
          <w:tcPr>
            <w:tcW w:w="0" w:type="auto"/>
            <w:vAlign w:val="center"/>
          </w:tcPr>
          <w:p w:rsidR="00F43DEB" w:rsidRPr="00F43DEB" w:rsidRDefault="00F43DEB" w:rsidP="00F43DEB">
            <w:pPr>
              <w:pStyle w:val="Ingetavstnd"/>
              <w:jc w:val="right"/>
              <w:rPr>
                <w:rFonts w:asciiTheme="minorHAnsi" w:hAnsiTheme="minorHAnsi" w:cstheme="minorHAnsi"/>
              </w:rPr>
            </w:pPr>
            <w:r w:rsidRPr="00F43DEB">
              <w:rPr>
                <w:rFonts w:asciiTheme="minorHAnsi" w:hAnsiTheme="minorHAnsi"/>
              </w:rPr>
              <w:t>21,9 %</w:t>
            </w:r>
          </w:p>
        </w:tc>
        <w:tc>
          <w:tcPr>
            <w:tcW w:w="0" w:type="auto"/>
            <w:vAlign w:val="center"/>
          </w:tcPr>
          <w:p w:rsidR="00F43DEB" w:rsidRPr="00F43DEB" w:rsidRDefault="00F43DEB" w:rsidP="00F43DEB">
            <w:pPr>
              <w:pStyle w:val="Ingetavstnd"/>
              <w:jc w:val="right"/>
              <w:rPr>
                <w:rFonts w:asciiTheme="minorHAnsi" w:hAnsiTheme="minorHAnsi" w:cstheme="minorHAnsi"/>
              </w:rPr>
            </w:pPr>
            <w:r w:rsidRPr="00F43DEB">
              <w:rPr>
                <w:rFonts w:asciiTheme="minorHAnsi" w:hAnsiTheme="minorHAnsi"/>
              </w:rPr>
              <w:t>18699</w:t>
            </w:r>
          </w:p>
        </w:tc>
      </w:tr>
      <w:tr w:rsidR="00F43DEB" w:rsidRPr="00F43DEB" w:rsidTr="00F43DEB">
        <w:trPr>
          <w:trHeight w:val="300"/>
        </w:trPr>
        <w:tc>
          <w:tcPr>
            <w:tcW w:w="0" w:type="auto"/>
            <w:tcBorders>
              <w:bottom w:val="single" w:sz="4" w:space="0" w:color="auto"/>
            </w:tcBorders>
            <w:vAlign w:val="center"/>
          </w:tcPr>
          <w:p w:rsidR="00F43DEB" w:rsidRPr="00F43DEB" w:rsidRDefault="00F43DEB" w:rsidP="00F43DEB">
            <w:pPr>
              <w:pStyle w:val="Ingetavstnd"/>
              <w:jc w:val="left"/>
              <w:rPr>
                <w:rFonts w:asciiTheme="minorHAnsi" w:hAnsiTheme="minorHAnsi" w:cstheme="minorHAnsi"/>
                <w:lang w:val="sv-SE"/>
              </w:rPr>
            </w:pPr>
            <w:r w:rsidRPr="00F43DEB">
              <w:rPr>
                <w:rFonts w:asciiTheme="minorHAnsi" w:hAnsiTheme="minorHAnsi" w:cstheme="minorHAnsi"/>
                <w:lang w:val="sv-SE"/>
              </w:rPr>
              <w:t>Har ej skrivet kontrakt för boendet</w:t>
            </w:r>
          </w:p>
        </w:tc>
        <w:tc>
          <w:tcPr>
            <w:tcW w:w="0" w:type="auto"/>
            <w:tcBorders>
              <w:bottom w:val="single" w:sz="4" w:space="0" w:color="auto"/>
            </w:tcBorders>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16,6 %</w:t>
            </w:r>
          </w:p>
        </w:tc>
        <w:tc>
          <w:tcPr>
            <w:tcW w:w="0" w:type="auto"/>
            <w:tcBorders>
              <w:bottom w:val="single" w:sz="4" w:space="0" w:color="auto"/>
            </w:tcBorders>
            <w:vAlign w:val="center"/>
          </w:tcPr>
          <w:p w:rsidR="00F43DEB" w:rsidRPr="00F43DEB" w:rsidRDefault="00F43DEB" w:rsidP="00F43DEB">
            <w:pPr>
              <w:pStyle w:val="Ingetavstnd"/>
              <w:jc w:val="right"/>
              <w:rPr>
                <w:rFonts w:asciiTheme="minorHAnsi" w:hAnsiTheme="minorHAnsi" w:cstheme="minorHAnsi"/>
                <w:lang w:val="sv-SE"/>
              </w:rPr>
            </w:pPr>
            <w:r w:rsidRPr="00F43DEB">
              <w:rPr>
                <w:rFonts w:asciiTheme="minorHAnsi" w:hAnsiTheme="minorHAnsi"/>
              </w:rPr>
              <w:t>10701</w:t>
            </w:r>
          </w:p>
        </w:tc>
      </w:tr>
    </w:tbl>
    <w:p w:rsidR="00083AFE" w:rsidRPr="007E0B95" w:rsidRDefault="000B157D" w:rsidP="00D02960">
      <w:pPr>
        <w:pStyle w:val="Grundtextindrag"/>
        <w:rPr>
          <w:rFonts w:asciiTheme="majorHAnsi" w:hAnsiTheme="majorHAnsi"/>
          <w:sz w:val="20"/>
          <w:lang w:eastAsia="sv-SE"/>
        </w:rPr>
      </w:pPr>
      <w:r w:rsidRPr="007E0B95">
        <w:rPr>
          <w:rFonts w:asciiTheme="majorHAnsi" w:hAnsiTheme="majorHAnsi"/>
          <w:color w:val="auto"/>
          <w:sz w:val="20"/>
          <w:lang w:eastAsia="sv-SE"/>
        </w:rPr>
        <w:t xml:space="preserve">* </w:t>
      </w:r>
      <w:r w:rsidR="00DF51F2" w:rsidRPr="007E0B95">
        <w:rPr>
          <w:rFonts w:asciiTheme="majorHAnsi" w:hAnsiTheme="majorHAnsi"/>
          <w:color w:val="auto"/>
          <w:sz w:val="20"/>
          <w:lang w:eastAsia="sv-SE"/>
        </w:rPr>
        <w:t xml:space="preserve">Andelen </w:t>
      </w:r>
      <w:r w:rsidR="00214E44" w:rsidRPr="007E0B95">
        <w:rPr>
          <w:rFonts w:asciiTheme="majorHAnsi" w:hAnsiTheme="majorHAnsi"/>
          <w:color w:val="auto"/>
          <w:sz w:val="20"/>
          <w:lang w:eastAsia="sv-SE"/>
        </w:rPr>
        <w:t>av</w:t>
      </w:r>
      <w:r w:rsidR="00DF51F2" w:rsidRPr="007E0B95">
        <w:rPr>
          <w:rFonts w:asciiTheme="majorHAnsi" w:hAnsiTheme="majorHAnsi"/>
          <w:color w:val="auto"/>
          <w:sz w:val="20"/>
          <w:lang w:eastAsia="sv-SE"/>
        </w:rPr>
        <w:t xml:space="preserve"> dem som </w:t>
      </w:r>
      <w:r w:rsidR="00214E44" w:rsidRPr="007E0B95">
        <w:rPr>
          <w:rFonts w:asciiTheme="majorHAnsi" w:hAnsiTheme="majorHAnsi"/>
          <w:color w:val="auto"/>
          <w:sz w:val="20"/>
          <w:lang w:eastAsia="sv-SE"/>
        </w:rPr>
        <w:t xml:space="preserve">i någon form </w:t>
      </w:r>
      <w:r w:rsidR="00DF51F2" w:rsidRPr="007E0B95">
        <w:rPr>
          <w:rFonts w:asciiTheme="majorHAnsi" w:hAnsiTheme="majorHAnsi"/>
          <w:color w:val="auto"/>
          <w:sz w:val="20"/>
          <w:lang w:eastAsia="sv-SE"/>
        </w:rPr>
        <w:t xml:space="preserve">hyr sitt boende. </w:t>
      </w:r>
    </w:p>
    <w:p w:rsidR="008A6C85" w:rsidRPr="007E0B95" w:rsidRDefault="008A6C85" w:rsidP="006A7A8D"/>
    <w:p w:rsidR="007A5BFA" w:rsidRPr="007E0B95" w:rsidRDefault="007A5BFA" w:rsidP="006A7A8D">
      <w:r w:rsidRPr="007E0B95">
        <w:t>Unga vuxna som har skaffat sig eget boende har mycket lägre arbetslöshet</w:t>
      </w:r>
      <w:r w:rsidR="000F36A0">
        <w:t xml:space="preserve"> än hemmaboende (jämför tabell 4</w:t>
      </w:r>
      <w:r w:rsidRPr="007E0B95">
        <w:t xml:space="preserve">). </w:t>
      </w:r>
      <w:r w:rsidR="00A841F8" w:rsidRPr="007E0B95">
        <w:t xml:space="preserve">Ökade möjligheter, i kombination med nödvändigheten </w:t>
      </w:r>
      <w:r w:rsidR="006A7A8D" w:rsidRPr="007E0B95">
        <w:t xml:space="preserve">av att klara sig själv </w:t>
      </w:r>
      <w:r w:rsidR="00A841F8" w:rsidRPr="007E0B95">
        <w:t xml:space="preserve">gör att nivån på utsatthetsmåtten är lägre för de som </w:t>
      </w:r>
      <w:r w:rsidRPr="007E0B95">
        <w:t xml:space="preserve">har eget boende. I gengäld är helt andra risker aktuella, till exempel osäkra anställningsformer, tidsbegränsat boende, osäkerhet om hur mycket man kommer </w:t>
      </w:r>
      <w:r w:rsidR="004E66D5">
        <w:t xml:space="preserve">att </w:t>
      </w:r>
      <w:r w:rsidRPr="007E0B95">
        <w:t>tjäna nästa månad.</w:t>
      </w:r>
    </w:p>
    <w:p w:rsidR="00E81B4B" w:rsidRPr="00BC18AC" w:rsidRDefault="00FB567A" w:rsidP="00F3724E">
      <w:pPr>
        <w:pStyle w:val="Rubrik2"/>
        <w:rPr>
          <w:rFonts w:ascii="Arial" w:hAnsi="Arial" w:cs="Arial"/>
          <w:b/>
        </w:rPr>
      </w:pPr>
      <w:bookmarkStart w:id="14" w:name="_Toc481738294"/>
      <w:r w:rsidRPr="00BC18AC">
        <w:rPr>
          <w:rFonts w:ascii="Arial" w:hAnsi="Arial" w:cs="Arial"/>
          <w:b/>
        </w:rPr>
        <w:t>Absolut ekonomisk fattigdom för unga vuxna med eget boende</w:t>
      </w:r>
      <w:bookmarkEnd w:id="14"/>
    </w:p>
    <w:p w:rsidR="000163DD" w:rsidRPr="007E0B95" w:rsidRDefault="000163DD" w:rsidP="00D02960">
      <w:r w:rsidRPr="007E0B95">
        <w:t xml:space="preserve">Vi använder </w:t>
      </w:r>
      <w:r w:rsidR="0065226C" w:rsidRPr="007E0B95">
        <w:t xml:space="preserve">som tidigare påpekats </w:t>
      </w:r>
      <w:r w:rsidRPr="007E0B95">
        <w:t xml:space="preserve">absoluta mått för att uppskatta ekonomisk fattigdom för unga vuxna som har flyttat hemifrån. Var gränsen för absolut fattigdom ligger varierar </w:t>
      </w:r>
      <w:r w:rsidR="00FB567A" w:rsidRPr="007E0B95">
        <w:t xml:space="preserve">emellertid </w:t>
      </w:r>
      <w:r w:rsidRPr="007E0B95">
        <w:t xml:space="preserve">med vem man frågar. Vi </w:t>
      </w:r>
      <w:r w:rsidR="00A841F8" w:rsidRPr="007E0B95">
        <w:t xml:space="preserve">redovisar </w:t>
      </w:r>
      <w:r w:rsidR="00FB567A" w:rsidRPr="007E0B95">
        <w:t xml:space="preserve">därför </w:t>
      </w:r>
      <w:r w:rsidRPr="007E0B95">
        <w:t>tre gränser:</w:t>
      </w:r>
    </w:p>
    <w:p w:rsidR="000163DD" w:rsidRPr="007E0B95" w:rsidRDefault="000163DD" w:rsidP="00D02960">
      <w:pPr>
        <w:pStyle w:val="Liststycke"/>
        <w:numPr>
          <w:ilvl w:val="0"/>
          <w:numId w:val="2"/>
        </w:numPr>
      </w:pPr>
      <w:r w:rsidRPr="007E0B95">
        <w:t>Socialstyrelsens schablongräns för försörjningsstöd, som ligger på 3 930 kronor</w:t>
      </w:r>
      <w:r w:rsidR="003A2391" w:rsidRPr="007E0B95">
        <w:t xml:space="preserve"> </w:t>
      </w:r>
      <w:r w:rsidR="003A2391" w:rsidRPr="007E0B95">
        <w:fldChar w:fldCharType="begin"/>
      </w:r>
      <w:r w:rsidR="00AE2A69" w:rsidRPr="007E0B95">
        <w:instrText xml:space="preserve"> ADDIN ZOTERO_ITEM CSL_CITATION {"citationID":"14apho8b4u","properties":{"formattedCitation":"(Socialstyrelsen, 2017)","plainCitation":"(Socialstyrelsen, 2017)"},"citationItems":[{"id":1259,"uris":["http://zotero.org/users/3218498/items/SUV7T5K7"],"uri":["http://zotero.org/users/3218498/items/SUV7T5K7"],"itemData":{"id":1259,"type":"article","title":"Ekonomiskt bistånd","URL":"http://www.socialstyrelsen.se/hittarattmyndighet/ekonomisktbistand/provberakning","author":[{"family":"Socialstyrelsen","given":""}],"issued":{"date-parts":[["2017"]]},"accessed":{"date-parts":[["2017",5,2]]}}}],"schema":"https://github.com/citation-style-language/schema/raw/master/csl-citation.json"} </w:instrText>
      </w:r>
      <w:r w:rsidR="003A2391" w:rsidRPr="007E0B95">
        <w:fldChar w:fldCharType="separate"/>
      </w:r>
      <w:r w:rsidR="003A2391" w:rsidRPr="007E0B95">
        <w:rPr>
          <w:rFonts w:cs="Times New Roman"/>
        </w:rPr>
        <w:t>(Socialstyrelsen, 2017)</w:t>
      </w:r>
      <w:r w:rsidR="003A2391" w:rsidRPr="007E0B95">
        <w:fldChar w:fldCharType="end"/>
      </w:r>
      <w:r w:rsidRPr="007E0B95">
        <w:t>.</w:t>
      </w:r>
    </w:p>
    <w:p w:rsidR="000163DD" w:rsidRPr="007E0B95" w:rsidRDefault="000163DD" w:rsidP="00073A0B">
      <w:pPr>
        <w:pStyle w:val="Liststycke"/>
        <w:numPr>
          <w:ilvl w:val="0"/>
          <w:numId w:val="2"/>
        </w:numPr>
      </w:pPr>
      <w:r w:rsidRPr="007E0B95">
        <w:rPr>
          <w:i/>
        </w:rPr>
        <w:t>Kronofogdemyndighetens normalvärde</w:t>
      </w:r>
      <w:r w:rsidRPr="007E0B95">
        <w:t>, som är det belopp man normalt får behålla om man betalar av på skulder till Kronofogdemyndigheten. Det ligger för närvarande på 4 734 kronor</w:t>
      </w:r>
      <w:r w:rsidR="003A2391" w:rsidRPr="007E0B95">
        <w:t xml:space="preserve"> </w:t>
      </w:r>
      <w:r w:rsidR="003A2391" w:rsidRPr="007E0B95">
        <w:fldChar w:fldCharType="begin"/>
      </w:r>
      <w:r w:rsidR="00AE2A69" w:rsidRPr="007E0B95">
        <w:instrText xml:space="preserve"> ADDIN ZOTERO_ITEM CSL_CITATION {"citationID":"ie76i82gb","properties":{"formattedCitation":"(Kronofogdemyndigheten, 2017)","plainCitation":"(Kronofogdemyndigheten, 2017)"},"citationItems":[{"id":1260,"uris":["http://zotero.org/users/3218498/items/T28TIFTE"],"uri":["http://zotero.org/users/3218498/items/T28TIFTE"],"itemData":{"id":1260,"type":"article","title":"Förbehållsbelopp/Normalbelopp","URL":"https://www.kronofogden.se/Hurmycketfardubehalla.html","author":[{"family":"Kronofogdemyndigheten","given":""}],"issued":{"date-parts":[["2017"]]},"accessed":{"date-parts":[["2017",5,2]]}}}],"schema":"https://github.com/citation-style-language/schema/raw/master/csl-citation.json"} </w:instrText>
      </w:r>
      <w:r w:rsidR="003A2391" w:rsidRPr="007E0B95">
        <w:fldChar w:fldCharType="separate"/>
      </w:r>
      <w:r w:rsidR="003A2391" w:rsidRPr="007E0B95">
        <w:rPr>
          <w:rFonts w:cs="Times New Roman"/>
        </w:rPr>
        <w:t>(Kronofogdemyndigheten, 2017)</w:t>
      </w:r>
      <w:r w:rsidR="003A2391" w:rsidRPr="007E0B95">
        <w:fldChar w:fldCharType="end"/>
      </w:r>
      <w:r w:rsidRPr="007E0B95">
        <w:t>.</w:t>
      </w:r>
    </w:p>
    <w:p w:rsidR="000163DD" w:rsidRPr="007E0B95" w:rsidRDefault="000163DD">
      <w:pPr>
        <w:pStyle w:val="Liststycke"/>
        <w:numPr>
          <w:ilvl w:val="0"/>
          <w:numId w:val="2"/>
        </w:numPr>
      </w:pPr>
      <w:r w:rsidRPr="007E0B95">
        <w:rPr>
          <w:i/>
        </w:rPr>
        <w:t>Konsumentverkets kostnadsberäkningar för basnivån för normala utgifter för vuxna</w:t>
      </w:r>
      <w:r w:rsidRPr="007E0B95">
        <w:t xml:space="preserve"> som ligger på 6 350 kronor</w:t>
      </w:r>
      <w:r w:rsidR="003A2391" w:rsidRPr="007E0B95">
        <w:t xml:space="preserve"> </w:t>
      </w:r>
      <w:r w:rsidR="003A2391" w:rsidRPr="007E0B95">
        <w:fldChar w:fldCharType="begin"/>
      </w:r>
      <w:r w:rsidR="00B14466" w:rsidRPr="007E0B95">
        <w:instrText xml:space="preserve"> ADDIN ZOTERO_ITEM CSL_CITATION {"citationID":"2clkism7e","properties":{"formattedCitation":"(Konsumentverket, 2017)","plainCitation":"(Konsumentverket, 2017)"},"citationItems":[{"id":1254,"uris":["http://zotero.org/users/3218498/items/4AIS8K6U"],"uri":["http://zotero.org/users/3218498/items/4AIS8K6U"],"itemData":{"id":1254,"type":"article","title":"Koll på pengarna","publisher":"Konsumentverket","author":[{"family":"Konsumentverket","given":""}],"issued":{"date-parts":[["2017"]]}}}],"schema":"https://github.com/citation-style-language/schema/raw/master/csl-citation.json"} </w:instrText>
      </w:r>
      <w:r w:rsidR="003A2391" w:rsidRPr="007E0B95">
        <w:fldChar w:fldCharType="separate"/>
      </w:r>
      <w:r w:rsidR="003A2391" w:rsidRPr="007E0B95">
        <w:rPr>
          <w:rFonts w:cs="Times New Roman"/>
        </w:rPr>
        <w:t>(Konsumentverket, 2017)</w:t>
      </w:r>
      <w:r w:rsidR="003A2391" w:rsidRPr="007E0B95">
        <w:fldChar w:fldCharType="end"/>
      </w:r>
      <w:r w:rsidRPr="007E0B95">
        <w:t>. Detta be</w:t>
      </w:r>
      <w:r w:rsidR="009F23CC">
        <w:t>lopp är inget fattigdomsbegrepp</w:t>
      </w:r>
      <w:r w:rsidRPr="007E0B95">
        <w:t xml:space="preserve"> men ger en god indikation på hur mycket man minst bör ha kvar varje månad efter boendekostnader för att ha råd med normala utgifter såsom mat, skor och kläder och försäkringar, etcetera.</w:t>
      </w:r>
      <w:r w:rsidRPr="007E0B95">
        <w:rPr>
          <w:vertAlign w:val="superscript"/>
        </w:rPr>
        <w:t xml:space="preserve"> </w:t>
      </w:r>
      <w:r w:rsidRPr="007E0B95">
        <w:t>Det är inga excesser inräknade i Konsumentverkets basnivå, tvärtom. I det belopp vi får fram när vi använder Konsumentverkets beräkningsguide ingår till exempel endast 690 kronor i månaden till fritidsaktiviteter.</w:t>
      </w:r>
      <w:r w:rsidRPr="007E0B95">
        <w:rPr>
          <w:rStyle w:val="Fotnotsreferens"/>
        </w:rPr>
        <w:footnoteReference w:id="3"/>
      </w:r>
      <w:r w:rsidRPr="007E0B95">
        <w:t xml:space="preserve"> 6 350 ska alltså betraktas som ett mycket konservativt mått för normala utgifter.</w:t>
      </w:r>
    </w:p>
    <w:p w:rsidR="00A841F8" w:rsidRPr="007E0B95" w:rsidRDefault="00A841F8" w:rsidP="00D02960">
      <w:pPr>
        <w:pStyle w:val="Ingetavstnd"/>
      </w:pPr>
    </w:p>
    <w:p w:rsidR="00C24EA9" w:rsidRPr="007E0B95" w:rsidRDefault="00765110" w:rsidP="00442EC9">
      <w:r w:rsidRPr="007E0B95">
        <w:t xml:space="preserve">Figur </w:t>
      </w:r>
      <w:r w:rsidR="002F29FD" w:rsidRPr="007E0B95">
        <w:t>5</w:t>
      </w:r>
      <w:r w:rsidRPr="007E0B95">
        <w:t xml:space="preserve"> nedan visar fördelningen av inkomster efter boendekostnader för unga vuxna </w:t>
      </w:r>
      <w:r w:rsidR="002F29FD" w:rsidRPr="007E0B95">
        <w:t xml:space="preserve">i </w:t>
      </w:r>
      <w:r w:rsidR="003C3B2E" w:rsidRPr="007E0B95">
        <w:t>Storgöteborg</w:t>
      </w:r>
      <w:r w:rsidR="002F29FD" w:rsidRPr="007E0B95">
        <w:t xml:space="preserve"> </w:t>
      </w:r>
      <w:r w:rsidRPr="007E0B95">
        <w:t>som har flyttat hemifrån, i förhållande till de olika fattigdomsbegreppen</w:t>
      </w:r>
      <w:r w:rsidR="00A841F8" w:rsidRPr="007E0B95">
        <w:t>.</w:t>
      </w:r>
      <w:r w:rsidRPr="007E0B95">
        <w:rPr>
          <w:vertAlign w:val="superscript"/>
        </w:rPr>
        <w:t xml:space="preserve"> </w:t>
      </w:r>
      <w:r w:rsidR="00A841F8" w:rsidRPr="007E0B95">
        <w:t xml:space="preserve"> </w:t>
      </w:r>
      <w:r w:rsidR="006A7A8D" w:rsidRPr="007E0B95">
        <w:t>Resultatet visar att hälften av de unga vuxna</w:t>
      </w:r>
      <w:r w:rsidR="00FE2352" w:rsidRPr="007E0B95">
        <w:t xml:space="preserve"> har mindre </w:t>
      </w:r>
      <w:r w:rsidR="006B5190" w:rsidRPr="007E0B95">
        <w:t xml:space="preserve">än </w:t>
      </w:r>
      <w:r w:rsidR="003C3B2E" w:rsidRPr="007E0B95">
        <w:t>8 000</w:t>
      </w:r>
      <w:r w:rsidR="00FE2352" w:rsidRPr="007E0B95">
        <w:t xml:space="preserve"> kronor kvar efter</w:t>
      </w:r>
      <w:r w:rsidR="006A7A8D" w:rsidRPr="007E0B95">
        <w:t xml:space="preserve"> att</w:t>
      </w:r>
      <w:r w:rsidR="00FE2352" w:rsidRPr="007E0B95">
        <w:t xml:space="preserve"> boendekostnader</w:t>
      </w:r>
      <w:r w:rsidR="006A7A8D" w:rsidRPr="007E0B95">
        <w:t>na är betalda</w:t>
      </w:r>
      <w:r w:rsidR="00FE2352" w:rsidRPr="007E0B95">
        <w:t xml:space="preserve">. </w:t>
      </w:r>
      <w:r w:rsidR="003474A7" w:rsidRPr="007E0B95">
        <w:t xml:space="preserve">Hela </w:t>
      </w:r>
      <w:r w:rsidR="002F29FD" w:rsidRPr="007E0B95">
        <w:t>4</w:t>
      </w:r>
      <w:r w:rsidR="003C3B2E" w:rsidRPr="007E0B95">
        <w:t>3</w:t>
      </w:r>
      <w:r w:rsidR="0000619A" w:rsidRPr="007E0B95">
        <w:t xml:space="preserve"> procent</w:t>
      </w:r>
      <w:r w:rsidRPr="007E0B95">
        <w:t xml:space="preserve"> i den undersökta gruppen </w:t>
      </w:r>
      <w:r w:rsidR="003115DA" w:rsidRPr="007E0B95">
        <w:t>har inkomster under K</w:t>
      </w:r>
      <w:r w:rsidRPr="007E0B95">
        <w:t>onsumentverkets basnivå för normala utgifter</w:t>
      </w:r>
      <w:r w:rsidR="003474A7" w:rsidRPr="007E0B95">
        <w:t>.</w:t>
      </w:r>
      <w:r w:rsidRPr="007E0B95">
        <w:t xml:space="preserve"> </w:t>
      </w:r>
      <w:r w:rsidR="002F29FD" w:rsidRPr="007E0B95">
        <w:t>25</w:t>
      </w:r>
      <w:r w:rsidR="0000619A" w:rsidRPr="007E0B95">
        <w:t xml:space="preserve"> procent</w:t>
      </w:r>
      <w:r w:rsidRPr="007E0B95">
        <w:t xml:space="preserve"> </w:t>
      </w:r>
      <w:r w:rsidR="003115DA" w:rsidRPr="007E0B95">
        <w:t xml:space="preserve">ligger under Kronofogdemyndighetens normalbelopp och </w:t>
      </w:r>
      <w:r w:rsidR="002F29FD" w:rsidRPr="007E0B95">
        <w:t>1</w:t>
      </w:r>
      <w:r w:rsidR="003C3B2E" w:rsidRPr="007E0B95">
        <w:t>6</w:t>
      </w:r>
      <w:r w:rsidR="0000619A" w:rsidRPr="007E0B95">
        <w:t xml:space="preserve"> procent</w:t>
      </w:r>
      <w:r w:rsidR="003115DA" w:rsidRPr="007E0B95">
        <w:t xml:space="preserve"> har en så </w:t>
      </w:r>
      <w:r w:rsidR="003115DA" w:rsidRPr="007E0B95">
        <w:lastRenderedPageBreak/>
        <w:t xml:space="preserve">utsatt ekonomisk situation att de </w:t>
      </w:r>
      <w:r w:rsidR="00C77D07" w:rsidRPr="007E0B95">
        <w:t>har inkomster under socialstyrelsens schablonbelopp för försörjningsstöd</w:t>
      </w:r>
      <w:r w:rsidR="00C24EA9" w:rsidRPr="007E0B95">
        <w:t>.</w:t>
      </w:r>
    </w:p>
    <w:p w:rsidR="006221F2" w:rsidRDefault="003115DA" w:rsidP="00442EC9">
      <w:r w:rsidRPr="007E0B95">
        <w:t>Omräknat i antal personer</w:t>
      </w:r>
      <w:r w:rsidR="007629F2" w:rsidRPr="007E0B95">
        <w:t xml:space="preserve"> betyder det att </w:t>
      </w:r>
      <w:r w:rsidR="00CE37DD" w:rsidRPr="007E0B95">
        <w:t>36 700</w:t>
      </w:r>
      <w:r w:rsidR="00C24EA9" w:rsidRPr="007E0B95">
        <w:t xml:space="preserve"> </w:t>
      </w:r>
      <w:r w:rsidR="007629F2" w:rsidRPr="007E0B95">
        <w:t>unga vuxna i åldrarna 20-27</w:t>
      </w:r>
      <w:r w:rsidR="00C24EA9" w:rsidRPr="007E0B95">
        <w:t xml:space="preserve"> i </w:t>
      </w:r>
      <w:r w:rsidR="00CE37DD" w:rsidRPr="007E0B95">
        <w:t>Storgöteborg</w:t>
      </w:r>
      <w:r w:rsidR="007629F2" w:rsidRPr="007E0B95">
        <w:t xml:space="preserve"> har mindre att klara sig med varje månad än vad </w:t>
      </w:r>
      <w:r w:rsidR="00FE2352" w:rsidRPr="007E0B95">
        <w:t>normalt ska räcka till grundläggande utgifter</w:t>
      </w:r>
      <w:r w:rsidR="00C24EA9" w:rsidRPr="007E0B95">
        <w:t>.</w:t>
      </w:r>
      <w:r w:rsidR="007629F2" w:rsidRPr="007E0B95">
        <w:t xml:space="preserve"> </w:t>
      </w:r>
      <w:r w:rsidR="00CE37DD" w:rsidRPr="007E0B95">
        <w:t>21 400</w:t>
      </w:r>
      <w:r w:rsidR="00C24EA9" w:rsidRPr="007E0B95">
        <w:t xml:space="preserve"> </w:t>
      </w:r>
      <w:r w:rsidR="00E81B4B" w:rsidRPr="007E0B95">
        <w:t xml:space="preserve">lever under de belopp man får klara sig på som kraftigt skuldsatt och </w:t>
      </w:r>
      <w:r w:rsidR="00CE37DD" w:rsidRPr="007E0B95">
        <w:t xml:space="preserve">13 700 </w:t>
      </w:r>
      <w:r w:rsidR="00C24EA9" w:rsidRPr="007E0B95">
        <w:t xml:space="preserve">unga vuxna </w:t>
      </w:r>
      <w:r w:rsidR="00E81B4B" w:rsidRPr="007E0B95">
        <w:t xml:space="preserve">lever </w:t>
      </w:r>
      <w:r w:rsidR="00DA08C0" w:rsidRPr="007E0B95">
        <w:t>på en nivå som normalt sett kvalificerar för</w:t>
      </w:r>
      <w:r w:rsidR="00E81B4B" w:rsidRPr="007E0B95">
        <w:t xml:space="preserve"> försörjningsstöd.</w:t>
      </w:r>
    </w:p>
    <w:p w:rsidR="00584907" w:rsidRPr="00584907" w:rsidRDefault="00584907" w:rsidP="00584907">
      <w:pPr>
        <w:pStyle w:val="Ingetavstnd"/>
      </w:pPr>
    </w:p>
    <w:p w:rsidR="00765110" w:rsidRPr="007E0B95" w:rsidRDefault="00765110" w:rsidP="00765110">
      <w:pPr>
        <w:pStyle w:val="Ingetavstnd"/>
      </w:pPr>
    </w:p>
    <w:p w:rsidR="00765110" w:rsidRPr="007E0B95" w:rsidRDefault="006A5FA3" w:rsidP="006A5FA3">
      <w:pPr>
        <w:pStyle w:val="Ingetavstnd"/>
        <w:rPr>
          <w:color w:val="CC0033"/>
        </w:rPr>
      </w:pPr>
      <w:r w:rsidRPr="007E0B95">
        <w:rPr>
          <w:noProof/>
          <w:color w:val="CC0033"/>
          <w:lang w:eastAsia="sv-SE"/>
        </w:rPr>
        <mc:AlternateContent>
          <mc:Choice Requires="wps">
            <w:drawing>
              <wp:anchor distT="45720" distB="45720" distL="114300" distR="114300" simplePos="0" relativeHeight="251626496" behindDoc="0" locked="0" layoutInCell="1" allowOverlap="1" wp14:anchorId="7763A4DB" wp14:editId="44B865FC">
                <wp:simplePos x="0" y="0"/>
                <wp:positionH relativeFrom="margin">
                  <wp:posOffset>2662555</wp:posOffset>
                </wp:positionH>
                <wp:positionV relativeFrom="paragraph">
                  <wp:posOffset>2190750</wp:posOffset>
                </wp:positionV>
                <wp:extent cx="2667000" cy="771525"/>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71525"/>
                        </a:xfrm>
                        <a:prstGeom prst="rect">
                          <a:avLst/>
                        </a:prstGeom>
                        <a:solidFill>
                          <a:srgbClr val="FFFFFF"/>
                        </a:solidFill>
                        <a:ln w="9525">
                          <a:noFill/>
                          <a:miter lim="800000"/>
                          <a:headEnd/>
                          <a:tailEnd/>
                        </a:ln>
                      </wps:spPr>
                      <wps:txbx>
                        <w:txbxContent>
                          <w:p w:rsidR="0005552D" w:rsidRPr="00D02960" w:rsidRDefault="0005552D" w:rsidP="00C136C0">
                            <w:pPr>
                              <w:rPr>
                                <w:sz w:val="16"/>
                              </w:rPr>
                            </w:pPr>
                            <w:r w:rsidRPr="00D02960">
                              <w:rPr>
                                <w:sz w:val="16"/>
                              </w:rPr>
                              <w:t>KV=Konsumentverkets basnivå för normala utgifter</w:t>
                            </w:r>
                          </w:p>
                          <w:p w:rsidR="0005552D" w:rsidRPr="00D02960" w:rsidRDefault="0005552D" w:rsidP="00C136C0">
                            <w:pPr>
                              <w:rPr>
                                <w:sz w:val="16"/>
                              </w:rPr>
                            </w:pPr>
                            <w:r w:rsidRPr="00D02960">
                              <w:rPr>
                                <w:sz w:val="16"/>
                              </w:rPr>
                              <w:t>KfM=Kronofogdemyndighetens normalvärde</w:t>
                            </w:r>
                          </w:p>
                          <w:p w:rsidR="0005552D" w:rsidRPr="00D02960" w:rsidRDefault="0005552D" w:rsidP="00C136C0">
                            <w:pPr>
                              <w:rPr>
                                <w:sz w:val="16"/>
                              </w:rPr>
                            </w:pPr>
                            <w:r w:rsidRPr="00D02960">
                              <w:rPr>
                                <w:sz w:val="16"/>
                              </w:rPr>
                              <w:t>Soc=Socialstyrelsen schablongräns för försörjningsstöd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63A4DB" id="_x0000_t202" coordsize="21600,21600" o:spt="202" path="m,l,21600r21600,l21600,xe">
                <v:stroke joinstyle="miter"/>
                <v:path gradientshapeok="t" o:connecttype="rect"/>
              </v:shapetype>
              <v:shape id="Text Box 2" o:spid="_x0000_s1030" type="#_x0000_t202" style="position:absolute;left:0;text-align:left;margin-left:209.65pt;margin-top:172.5pt;width:210pt;height:60.7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" stroked="f">
                <v:textbox>
                  <w:txbxContent>
                    <w:p w:rsidR="0005552D" w:rsidRPr="00D02960" w:rsidRDefault="0005552D" w:rsidP="00C136C0">
                      <w:pPr>
                        <w:rPr>
                          <w:sz w:val="16"/>
                        </w:rPr>
                      </w:pPr>
                      <w:r w:rsidRPr="00D02960">
                        <w:rPr>
                          <w:sz w:val="16"/>
                        </w:rPr>
                        <w:t>KV=Konsumentverkets basnivå för normala utgifter</w:t>
                      </w:r>
                    </w:p>
                    <w:p w:rsidR="0005552D" w:rsidRPr="00D02960" w:rsidRDefault="0005552D" w:rsidP="00C136C0">
                      <w:pPr>
                        <w:rPr>
                          <w:sz w:val="16"/>
                        </w:rPr>
                      </w:pPr>
                      <w:proofErr w:type="spellStart"/>
                      <w:r w:rsidRPr="00D02960">
                        <w:rPr>
                          <w:sz w:val="16"/>
                        </w:rPr>
                        <w:t>KfM</w:t>
                      </w:r>
                      <w:proofErr w:type="spellEnd"/>
                      <w:r w:rsidRPr="00D02960">
                        <w:rPr>
                          <w:sz w:val="16"/>
                        </w:rPr>
                        <w:t>=Kronofogdemyndighetens normalvärde</w:t>
                      </w:r>
                    </w:p>
                    <w:p w:rsidR="0005552D" w:rsidRPr="00D02960" w:rsidRDefault="0005552D" w:rsidP="00C136C0">
                      <w:pPr>
                        <w:rPr>
                          <w:sz w:val="16"/>
                        </w:rPr>
                      </w:pPr>
                      <w:proofErr w:type="spellStart"/>
                      <w:r w:rsidRPr="00D02960">
                        <w:rPr>
                          <w:sz w:val="16"/>
                        </w:rPr>
                        <w:t>Soc</w:t>
                      </w:r>
                      <w:proofErr w:type="spellEnd"/>
                      <w:r w:rsidRPr="00D02960">
                        <w:rPr>
                          <w:sz w:val="16"/>
                        </w:rPr>
                        <w:t>=Socialstyrelsen schablongräns för försörjningsstöd</w:t>
                      </w:r>
                    </w:p>
                  </w:txbxContent>
                </v:textbox>
                <w10:wrap anchorx="margin"/>
              </v:shape>
            </w:pict>
          </mc:Fallback>
        </mc:AlternateContent>
      </w:r>
      <w:r w:rsidRPr="007E0B95">
        <w:rPr>
          <w:noProof/>
          <w:lang w:eastAsia="sv-SE"/>
        </w:rPr>
        <w:drawing>
          <wp:inline distT="0" distB="0" distL="0" distR="0" wp14:anchorId="712D5B45" wp14:editId="74136764">
            <wp:extent cx="4972050" cy="346710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92F7F-239D-4F56-9F9D-5D54A774B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000A" w:rsidRDefault="00765110">
      <w:pPr>
        <w:pStyle w:val="Beskrivning"/>
        <w:rPr>
          <w:lang w:val="sv-SE"/>
        </w:rPr>
      </w:pPr>
      <w:r w:rsidRPr="007E0B95">
        <w:rPr>
          <w:lang w:val="sv-SE"/>
        </w:rPr>
        <w:t xml:space="preserve">Figur </w:t>
      </w:r>
      <w:r w:rsidRPr="007E0B95">
        <w:rPr>
          <w:b w:val="0"/>
          <w:bCs w:val="0"/>
          <w:caps w:val="0"/>
          <w:lang w:val="sv-SE"/>
        </w:rPr>
        <w:fldChar w:fldCharType="begin"/>
      </w:r>
      <w:r w:rsidRPr="007E0B95">
        <w:rPr>
          <w:lang w:val="sv-SE"/>
        </w:rPr>
        <w:instrText xml:space="preserve"> SEQ Figur \* ARABIC </w:instrText>
      </w:r>
      <w:r w:rsidRPr="007E0B95">
        <w:rPr>
          <w:lang w:val="sv-SE"/>
        </w:rPr>
        <w:fldChar w:fldCharType="separate"/>
      </w:r>
      <w:r w:rsidR="006450EC">
        <w:rPr>
          <w:noProof/>
          <w:lang w:val="sv-SE"/>
        </w:rPr>
        <w:t>5</w:t>
      </w:r>
      <w:r w:rsidRPr="007E0B95">
        <w:rPr>
          <w:b w:val="0"/>
          <w:bCs w:val="0"/>
          <w:caps w:val="0"/>
          <w:lang w:val="sv-SE"/>
        </w:rPr>
        <w:fldChar w:fldCharType="end"/>
      </w:r>
      <w:r w:rsidRPr="007E0B95">
        <w:rPr>
          <w:lang w:val="sv-SE"/>
        </w:rPr>
        <w:t>, inkomstfördelning</w:t>
      </w:r>
      <w:r w:rsidR="0040000A" w:rsidRPr="007E0B95">
        <w:rPr>
          <w:lang w:val="sv-SE"/>
        </w:rPr>
        <w:t xml:space="preserve"> efter boendekostnader</w:t>
      </w:r>
      <w:r w:rsidR="006B724D" w:rsidRPr="007E0B95">
        <w:rPr>
          <w:lang w:val="sv-SE"/>
        </w:rPr>
        <w:t xml:space="preserve"> för </w:t>
      </w:r>
      <w:r w:rsidRPr="007E0B95">
        <w:rPr>
          <w:lang w:val="sv-SE"/>
        </w:rPr>
        <w:t>unga vuxna som skaffat sig eget</w:t>
      </w:r>
      <w:r w:rsidR="006B724D" w:rsidRPr="007E0B95">
        <w:rPr>
          <w:lang w:val="sv-SE"/>
        </w:rPr>
        <w:t xml:space="preserve"> </w:t>
      </w:r>
      <w:r w:rsidRPr="007E0B95">
        <w:rPr>
          <w:lang w:val="sv-SE"/>
        </w:rPr>
        <w:t>boende</w:t>
      </w:r>
      <w:r w:rsidR="00073A0B" w:rsidRPr="007E0B95">
        <w:rPr>
          <w:lang w:val="sv-SE"/>
        </w:rPr>
        <w:t xml:space="preserve"> </w:t>
      </w:r>
      <w:r w:rsidR="006A5FA3" w:rsidRPr="007E0B95">
        <w:rPr>
          <w:lang w:val="sv-SE"/>
        </w:rPr>
        <w:t>i storgöteborg</w:t>
      </w:r>
      <w:r w:rsidRPr="007E0B95">
        <w:rPr>
          <w:lang w:val="sv-SE"/>
        </w:rPr>
        <w:t>.</w:t>
      </w:r>
    </w:p>
    <w:p w:rsidR="009A7619" w:rsidRDefault="009A7619" w:rsidP="009A7619">
      <w:r>
        <w:t xml:space="preserve">Den röda kurvan visar alltså fördelningen av unga vuxna beroende på deras inkomst efter att boendekostnaderna är betalda. Anledningen till att vi räknar på inkomst efter boendekostnader är att det är så fattigdomsbegreppen vi använder är konstruerade. Här ser vi alltså att 43 procent av de unga vuxna i Storgöteborg har en inkomst som är lägre än </w:t>
      </w:r>
      <w:r w:rsidRPr="00584907">
        <w:t>Konsumentverkets basnivå för normala utgifter</w:t>
      </w:r>
      <w:r>
        <w:t xml:space="preserve">. 25 procent av de unga vuxna har mindre kvar än den nivå som Kronofogdemyndigheten låter en person behålla om man betalar av skulder till myndigheten, och 16 procent av de unga vuxna i Storgöteborg ligger under </w:t>
      </w:r>
      <w:r w:rsidRPr="00584907">
        <w:t>Socialstyrelsen schablongräns för försörjningsstöd</w:t>
      </w:r>
      <w:r>
        <w:t>.</w:t>
      </w:r>
    </w:p>
    <w:p w:rsidR="00E82B36" w:rsidRPr="00E82B36" w:rsidRDefault="00E82B36" w:rsidP="00E82B36"/>
    <w:p w:rsidR="00E82B36" w:rsidRDefault="00E82B36">
      <w:pPr>
        <w:spacing w:after="160" w:line="259" w:lineRule="auto"/>
        <w:ind w:firstLine="0"/>
        <w:jc w:val="left"/>
        <w:rPr>
          <w:rFonts w:asciiTheme="majorHAnsi" w:eastAsiaTheme="majorEastAsia" w:hAnsiTheme="majorHAnsi" w:cstheme="majorBidi"/>
          <w:color w:val="C00000"/>
          <w:sz w:val="40"/>
          <w:szCs w:val="32"/>
        </w:rPr>
      </w:pPr>
      <w:bookmarkStart w:id="15" w:name="_Toc481738295"/>
      <w:r>
        <w:br w:type="page"/>
      </w:r>
    </w:p>
    <w:p w:rsidR="00B02124" w:rsidRPr="00BC18AC" w:rsidRDefault="0065226C">
      <w:pPr>
        <w:pStyle w:val="Rubrik1"/>
        <w:rPr>
          <w:rFonts w:ascii="Arial" w:hAnsi="Arial" w:cs="Arial"/>
          <w:b/>
          <w:sz w:val="32"/>
        </w:rPr>
      </w:pPr>
      <w:r w:rsidRPr="00BC18AC">
        <w:rPr>
          <w:rFonts w:ascii="Arial" w:hAnsi="Arial" w:cs="Arial"/>
          <w:b/>
          <w:sz w:val="32"/>
        </w:rPr>
        <w:lastRenderedPageBreak/>
        <w:t>Hur påverkar unga vuxnas utsatthet deras möjligheter?</w:t>
      </w:r>
      <w:bookmarkEnd w:id="15"/>
    </w:p>
    <w:p w:rsidR="001A0B98" w:rsidRPr="007E0B95" w:rsidRDefault="004F37CF" w:rsidP="00D02960">
      <w:r w:rsidRPr="007E0B95">
        <w:t>För att undersöka hur unga</w:t>
      </w:r>
      <w:r w:rsidR="00A4403C" w:rsidRPr="007E0B95">
        <w:t xml:space="preserve"> vuxnas</w:t>
      </w:r>
      <w:r w:rsidRPr="007E0B95">
        <w:t xml:space="preserve"> utsatthet samspelar med deras möjligheter att påverka sin situation</w:t>
      </w:r>
      <w:r w:rsidR="00744A61" w:rsidRPr="007E0B95">
        <w:t xml:space="preserve"> innehåller enkätverktyget frågor</w:t>
      </w:r>
      <w:r w:rsidR="00AE2A69" w:rsidRPr="007E0B95">
        <w:t xml:space="preserve"> som, </w:t>
      </w:r>
      <w:r w:rsidR="000F7C2D" w:rsidRPr="007E0B95">
        <w:t>utöver</w:t>
      </w:r>
      <w:r w:rsidR="00AE2A69" w:rsidRPr="007E0B95">
        <w:t xml:space="preserve"> de direkta utsatthetsindikatorerna, också berör</w:t>
      </w:r>
      <w:r w:rsidR="00744A61" w:rsidRPr="007E0B95">
        <w:t xml:space="preserve"> </w:t>
      </w:r>
      <w:r w:rsidR="000879AB" w:rsidRPr="007E0B95">
        <w:t>om man</w:t>
      </w:r>
      <w:r w:rsidR="00AE2A69" w:rsidRPr="007E0B95">
        <w:t>:</w:t>
      </w:r>
    </w:p>
    <w:p w:rsidR="001A0B98" w:rsidRPr="007E0B95" w:rsidRDefault="00744A61" w:rsidP="00D02960">
      <w:pPr>
        <w:pStyle w:val="Liststycke"/>
        <w:numPr>
          <w:ilvl w:val="0"/>
          <w:numId w:val="6"/>
        </w:numPr>
      </w:pPr>
      <w:r w:rsidRPr="007E0B95">
        <w:t xml:space="preserve">föredrar bra framför billigt boende (eller tvärtom), </w:t>
      </w:r>
    </w:p>
    <w:p w:rsidR="001A0B98" w:rsidRPr="007E0B95" w:rsidRDefault="00744A61" w:rsidP="00D02960">
      <w:pPr>
        <w:pStyle w:val="Liststycke"/>
        <w:numPr>
          <w:ilvl w:val="0"/>
          <w:numId w:val="6"/>
        </w:numPr>
      </w:pPr>
      <w:r w:rsidRPr="007E0B95">
        <w:t xml:space="preserve">föredrar att hyra framför att äga sitt boende (eller tvärtom), </w:t>
      </w:r>
    </w:p>
    <w:p w:rsidR="00A4689E" w:rsidRPr="007E0B95" w:rsidRDefault="00744A61" w:rsidP="00D02960">
      <w:pPr>
        <w:pStyle w:val="Liststycke"/>
        <w:numPr>
          <w:ilvl w:val="0"/>
          <w:numId w:val="6"/>
        </w:numPr>
      </w:pPr>
      <w:r w:rsidRPr="007E0B95">
        <w:t xml:space="preserve">är nöjd med sitt boende, </w:t>
      </w:r>
    </w:p>
    <w:p w:rsidR="001A0B98" w:rsidRPr="007E0B95" w:rsidRDefault="00744A61" w:rsidP="00D02960">
      <w:pPr>
        <w:pStyle w:val="Liststycke"/>
        <w:numPr>
          <w:ilvl w:val="0"/>
          <w:numId w:val="6"/>
        </w:numPr>
      </w:pPr>
      <w:r w:rsidRPr="007E0B95">
        <w:t xml:space="preserve">upplever att det finns bostäder där man vill bo, </w:t>
      </w:r>
    </w:p>
    <w:p w:rsidR="001A0B98" w:rsidRPr="007E0B95" w:rsidRDefault="00744A61" w:rsidP="00D02960">
      <w:pPr>
        <w:pStyle w:val="Liststycke"/>
        <w:numPr>
          <w:ilvl w:val="0"/>
          <w:numId w:val="6"/>
        </w:numPr>
      </w:pPr>
      <w:r w:rsidRPr="007E0B95">
        <w:t xml:space="preserve">upplever att man har svårt att ha råd med sitt boende, </w:t>
      </w:r>
    </w:p>
    <w:p w:rsidR="001A0B98" w:rsidRPr="007E0B95" w:rsidRDefault="00744A61" w:rsidP="00D02960">
      <w:pPr>
        <w:pStyle w:val="Liststycke"/>
        <w:numPr>
          <w:ilvl w:val="0"/>
          <w:numId w:val="6"/>
        </w:numPr>
      </w:pPr>
      <w:r w:rsidRPr="007E0B95">
        <w:t>vill flytta och</w:t>
      </w:r>
      <w:r w:rsidR="00A4689E" w:rsidRPr="007E0B95">
        <w:t>,</w:t>
      </w:r>
    </w:p>
    <w:p w:rsidR="001A0B98" w:rsidRPr="007E0B95" w:rsidRDefault="00744A61" w:rsidP="00D02960">
      <w:pPr>
        <w:pStyle w:val="Liststycke"/>
        <w:numPr>
          <w:ilvl w:val="0"/>
          <w:numId w:val="6"/>
        </w:numPr>
      </w:pPr>
      <w:r w:rsidRPr="007E0B95">
        <w:t>tvekar inför att bilda familj eller flytta till jobb och utbildning på grund av situationen på bostadsmarknaden.</w:t>
      </w:r>
    </w:p>
    <w:p w:rsidR="00877B4B" w:rsidRDefault="00AE2A69" w:rsidP="00877B4B">
      <w:r w:rsidRPr="007E0B95">
        <w:t xml:space="preserve">Med hjälp av latent klassmodellering </w:t>
      </w:r>
      <w:r w:rsidR="000F7C2D" w:rsidRPr="007E0B95">
        <w:fldChar w:fldCharType="begin"/>
      </w:r>
      <w:r w:rsidR="000F7C2D" w:rsidRPr="007E0B95">
        <w:instrText xml:space="preserve"> ADDIN ZOTERO_ITEM CSL_CITATION {"citationID":"23r9a12ml5","properties":{"formattedCitation":"(Vermunt, 2010)","plainCitation":"(Vermunt, 2010)"},"citationItems":[{"id":1262,"uris":["http://zotero.org/users/3218498/items/TQH8RP36"],"uri":["http://zotero.org/users/3218498/items/TQH8RP36"],"itemData":{"id":1262,"type":"article-journal","title":"Latent class modeling with covariates: Two improved three-step approaches","container-title":"Political Analysis","page":"450-469","issue":"18","author":[{"family":"Vermunt","given":"J.K."}],"issued":{"date-parts":[["2010"]]}}}],"schema":"https://github.com/citation-style-language/schema/raw/master/csl-citation.json"} </w:instrText>
      </w:r>
      <w:r w:rsidR="000F7C2D" w:rsidRPr="007E0B95">
        <w:fldChar w:fldCharType="separate"/>
      </w:r>
      <w:r w:rsidR="000F7C2D" w:rsidRPr="007E0B95">
        <w:rPr>
          <w:rFonts w:cs="Times New Roman"/>
        </w:rPr>
        <w:t>(Vermunt, 2010)</w:t>
      </w:r>
      <w:r w:rsidR="000F7C2D" w:rsidRPr="007E0B95">
        <w:fldChar w:fldCharType="end"/>
      </w:r>
      <w:r w:rsidR="000F7C2D" w:rsidRPr="007E0B95">
        <w:t xml:space="preserve"> </w:t>
      </w:r>
      <w:r w:rsidRPr="007E0B95">
        <w:t xml:space="preserve">har </w:t>
      </w:r>
      <w:r w:rsidR="000F7C2D" w:rsidRPr="007E0B95">
        <w:t xml:space="preserve">de som svarat på enkäten grupperats i förhållande till dessa variabler och i förhållande till utsatthetsindikatorerna. </w:t>
      </w:r>
      <w:r w:rsidR="00024B43" w:rsidRPr="007E0B95">
        <w:t>Modellen ger stöd för en indelning</w:t>
      </w:r>
      <w:r w:rsidR="000F7C2D" w:rsidRPr="007E0B95">
        <w:t xml:space="preserve"> av unga vuxna</w:t>
      </w:r>
      <w:r w:rsidR="00024B43" w:rsidRPr="007E0B95">
        <w:t xml:space="preserve"> i tre grupper</w:t>
      </w:r>
      <w:r w:rsidR="00A4689E" w:rsidRPr="007E0B95">
        <w:t>:</w:t>
      </w:r>
    </w:p>
    <w:p w:rsidR="009001C3" w:rsidRPr="007E0B95" w:rsidRDefault="009001C3" w:rsidP="009001C3">
      <w:pPr>
        <w:pStyle w:val="Ingetavstnd"/>
      </w:pPr>
    </w:p>
    <w:p w:rsidR="002F33E3" w:rsidRPr="007E0B95" w:rsidRDefault="002F33E3" w:rsidP="00D02960">
      <w:pPr>
        <w:pStyle w:val="Beskrivning"/>
        <w:rPr>
          <w:lang w:val="sv-SE"/>
        </w:rPr>
      </w:pPr>
      <w:r w:rsidRPr="007E0B95">
        <w:rPr>
          <w:lang w:val="sv-SE"/>
        </w:rPr>
        <w:t xml:space="preserve">Tabell </w:t>
      </w:r>
      <w:r w:rsidRPr="007E0B95">
        <w:rPr>
          <w:lang w:val="sv-SE"/>
        </w:rPr>
        <w:fldChar w:fldCharType="begin"/>
      </w:r>
      <w:r w:rsidRPr="007E0B95">
        <w:rPr>
          <w:lang w:val="sv-SE"/>
        </w:rPr>
        <w:instrText xml:space="preserve"> SEQ Tabell \* ARABIC </w:instrText>
      </w:r>
      <w:r w:rsidRPr="007E0B95">
        <w:rPr>
          <w:lang w:val="sv-SE"/>
        </w:rPr>
        <w:fldChar w:fldCharType="separate"/>
      </w:r>
      <w:r w:rsidR="006450EC">
        <w:rPr>
          <w:noProof/>
          <w:lang w:val="sv-SE"/>
        </w:rPr>
        <w:t>7</w:t>
      </w:r>
      <w:r w:rsidRPr="007E0B95">
        <w:rPr>
          <w:lang w:val="sv-SE"/>
        </w:rPr>
        <w:fldChar w:fldCharType="end"/>
      </w:r>
      <w:r w:rsidRPr="007E0B95">
        <w:rPr>
          <w:lang w:val="sv-SE"/>
        </w:rPr>
        <w:t>, Modellerade grupper av unga vuxna</w:t>
      </w:r>
    </w:p>
    <w:tbl>
      <w:tblPr>
        <w:tblStyle w:val="Tabellrutnt"/>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2324"/>
        <w:gridCol w:w="2324"/>
        <w:gridCol w:w="2324"/>
      </w:tblGrid>
      <w:tr w:rsidR="002F33E3" w:rsidRPr="007E0B95" w:rsidTr="00E82B36">
        <w:trPr>
          <w:trHeight w:val="300"/>
        </w:trPr>
        <w:tc>
          <w:tcPr>
            <w:tcW w:w="2098" w:type="dxa"/>
            <w:tcBorders>
              <w:top w:val="single" w:sz="4" w:space="0" w:color="auto"/>
              <w:bottom w:val="single" w:sz="4" w:space="0" w:color="auto"/>
            </w:tcBorders>
            <w:vAlign w:val="center"/>
          </w:tcPr>
          <w:p w:rsidR="002F33E3" w:rsidRPr="007E0B95" w:rsidRDefault="002F33E3" w:rsidP="009001C3">
            <w:pPr>
              <w:pStyle w:val="Ingetavstnd"/>
              <w:jc w:val="left"/>
              <w:rPr>
                <w:rFonts w:asciiTheme="minorHAnsi" w:hAnsiTheme="minorHAnsi" w:cstheme="minorHAnsi"/>
                <w:lang w:val="sv-SE"/>
              </w:rPr>
            </w:pPr>
          </w:p>
        </w:tc>
        <w:tc>
          <w:tcPr>
            <w:tcW w:w="2324" w:type="dxa"/>
            <w:tcBorders>
              <w:top w:val="single" w:sz="4" w:space="0" w:color="auto"/>
              <w:bottom w:val="single" w:sz="4" w:space="0" w:color="auto"/>
            </w:tcBorders>
            <w:vAlign w:val="center"/>
          </w:tcPr>
          <w:p w:rsidR="002F33E3" w:rsidRPr="007E0B95" w:rsidRDefault="002F33E3" w:rsidP="002F33E3">
            <w:pPr>
              <w:pStyle w:val="Ingetavstnd"/>
              <w:jc w:val="center"/>
              <w:rPr>
                <w:rFonts w:asciiTheme="minorHAnsi" w:hAnsiTheme="minorHAnsi" w:cstheme="minorHAnsi"/>
                <w:lang w:val="sv-SE"/>
              </w:rPr>
            </w:pPr>
            <w:r w:rsidRPr="007E0B95">
              <w:rPr>
                <w:rFonts w:asciiTheme="minorHAnsi" w:hAnsiTheme="minorHAnsi" w:cstheme="minorHAnsi"/>
                <w:lang w:val="sv-SE"/>
              </w:rPr>
              <w:t>Grupp 1</w:t>
            </w:r>
          </w:p>
        </w:tc>
        <w:tc>
          <w:tcPr>
            <w:tcW w:w="2324" w:type="dxa"/>
            <w:tcBorders>
              <w:top w:val="single" w:sz="4" w:space="0" w:color="auto"/>
              <w:bottom w:val="single" w:sz="4" w:space="0" w:color="auto"/>
            </w:tcBorders>
            <w:vAlign w:val="center"/>
          </w:tcPr>
          <w:p w:rsidR="002F33E3" w:rsidRPr="007E0B95" w:rsidRDefault="002F33E3" w:rsidP="002F33E3">
            <w:pPr>
              <w:pStyle w:val="Ingetavstnd"/>
              <w:jc w:val="center"/>
              <w:rPr>
                <w:rFonts w:asciiTheme="minorHAnsi" w:hAnsiTheme="minorHAnsi" w:cstheme="minorHAnsi"/>
                <w:lang w:val="sv-SE"/>
              </w:rPr>
            </w:pPr>
            <w:r w:rsidRPr="007E0B95">
              <w:rPr>
                <w:rFonts w:asciiTheme="minorHAnsi" w:hAnsiTheme="minorHAnsi" w:cstheme="minorHAnsi"/>
                <w:lang w:val="sv-SE"/>
              </w:rPr>
              <w:t>Grupp 2</w:t>
            </w:r>
          </w:p>
        </w:tc>
        <w:tc>
          <w:tcPr>
            <w:tcW w:w="2324" w:type="dxa"/>
            <w:tcBorders>
              <w:top w:val="single" w:sz="4" w:space="0" w:color="auto"/>
              <w:bottom w:val="single" w:sz="4" w:space="0" w:color="auto"/>
            </w:tcBorders>
            <w:vAlign w:val="center"/>
          </w:tcPr>
          <w:p w:rsidR="002F33E3" w:rsidRPr="007E0B95" w:rsidRDefault="002F33E3" w:rsidP="002F33E3">
            <w:pPr>
              <w:pStyle w:val="Ingetavstnd"/>
              <w:jc w:val="center"/>
              <w:rPr>
                <w:rFonts w:asciiTheme="minorHAnsi" w:hAnsiTheme="minorHAnsi" w:cstheme="minorHAnsi"/>
                <w:lang w:val="sv-SE"/>
              </w:rPr>
            </w:pPr>
            <w:r w:rsidRPr="007E0B95">
              <w:rPr>
                <w:rFonts w:asciiTheme="minorHAnsi" w:hAnsiTheme="minorHAnsi" w:cstheme="minorHAnsi"/>
                <w:lang w:val="sv-SE"/>
              </w:rPr>
              <w:t>Grupp 3</w:t>
            </w:r>
          </w:p>
        </w:tc>
      </w:tr>
      <w:tr w:rsidR="009001C3" w:rsidRPr="007E0B95" w:rsidTr="00E82B36">
        <w:trPr>
          <w:trHeight w:val="300"/>
        </w:trPr>
        <w:tc>
          <w:tcPr>
            <w:tcW w:w="2098" w:type="dxa"/>
            <w:tcBorders>
              <w:top w:val="single" w:sz="4" w:space="0" w:color="auto"/>
            </w:tcBorders>
            <w:vAlign w:val="center"/>
          </w:tcPr>
          <w:p w:rsidR="009001C3" w:rsidRPr="007E0B95" w:rsidRDefault="009001C3" w:rsidP="009001C3">
            <w:pPr>
              <w:pStyle w:val="Ingetavstnd"/>
              <w:jc w:val="left"/>
              <w:rPr>
                <w:rFonts w:asciiTheme="minorHAnsi" w:hAnsiTheme="minorHAnsi" w:cstheme="minorHAnsi"/>
                <w:lang w:val="sv-SE"/>
              </w:rPr>
            </w:pPr>
            <w:r w:rsidRPr="007E0B95">
              <w:rPr>
                <w:rFonts w:asciiTheme="minorHAnsi" w:hAnsiTheme="minorHAnsi" w:cstheme="minorHAnsi"/>
                <w:lang w:val="sv-SE"/>
              </w:rPr>
              <w:t>Grupp</w:t>
            </w:r>
          </w:p>
        </w:tc>
        <w:tc>
          <w:tcPr>
            <w:tcW w:w="2324" w:type="dxa"/>
            <w:tcBorders>
              <w:top w:val="single" w:sz="4" w:space="0" w:color="auto"/>
            </w:tcBorders>
            <w:vAlign w:val="center"/>
          </w:tcPr>
          <w:p w:rsidR="009001C3" w:rsidRPr="007E0B95" w:rsidRDefault="009001C3" w:rsidP="009001C3">
            <w:pPr>
              <w:pStyle w:val="Ingetavstnd"/>
              <w:jc w:val="right"/>
              <w:rPr>
                <w:rFonts w:asciiTheme="minorHAnsi" w:hAnsiTheme="minorHAnsi" w:cstheme="minorHAnsi"/>
                <w:lang w:val="sv-SE"/>
              </w:rPr>
            </w:pPr>
            <w:r w:rsidRPr="007E0B95">
              <w:rPr>
                <w:rFonts w:asciiTheme="minorHAnsi" w:hAnsiTheme="minorHAnsi" w:cstheme="minorHAnsi"/>
                <w:lang w:val="sv-SE"/>
              </w:rPr>
              <w:t>Flyttbenägna, utsatta</w:t>
            </w:r>
          </w:p>
        </w:tc>
        <w:tc>
          <w:tcPr>
            <w:tcW w:w="2324" w:type="dxa"/>
            <w:tcBorders>
              <w:top w:val="single" w:sz="4" w:space="0" w:color="auto"/>
            </w:tcBorders>
            <w:vAlign w:val="center"/>
          </w:tcPr>
          <w:p w:rsidR="009001C3" w:rsidRPr="007E0B95" w:rsidRDefault="009001C3" w:rsidP="009001C3">
            <w:pPr>
              <w:pStyle w:val="Ingetavstnd"/>
              <w:jc w:val="right"/>
              <w:rPr>
                <w:rFonts w:asciiTheme="minorHAnsi" w:hAnsiTheme="minorHAnsi" w:cstheme="minorHAnsi"/>
                <w:lang w:val="sv-SE"/>
              </w:rPr>
            </w:pPr>
            <w:r w:rsidRPr="007E0B95">
              <w:rPr>
                <w:rFonts w:asciiTheme="minorHAnsi" w:hAnsiTheme="minorHAnsi" w:cstheme="minorHAnsi"/>
                <w:lang w:val="sv-SE"/>
              </w:rPr>
              <w:t>Flyttbenägna, ej utsatta</w:t>
            </w:r>
          </w:p>
        </w:tc>
        <w:tc>
          <w:tcPr>
            <w:tcW w:w="2324" w:type="dxa"/>
            <w:tcBorders>
              <w:top w:val="single" w:sz="4" w:space="0" w:color="auto"/>
            </w:tcBorders>
            <w:vAlign w:val="center"/>
          </w:tcPr>
          <w:p w:rsidR="009001C3" w:rsidRPr="007E0B95" w:rsidRDefault="009001C3" w:rsidP="009001C3">
            <w:pPr>
              <w:pStyle w:val="Ingetavstnd"/>
              <w:jc w:val="right"/>
              <w:rPr>
                <w:rFonts w:asciiTheme="minorHAnsi" w:hAnsiTheme="minorHAnsi" w:cstheme="minorHAnsi"/>
                <w:lang w:val="sv-SE"/>
              </w:rPr>
            </w:pPr>
            <w:r w:rsidRPr="007E0B95">
              <w:rPr>
                <w:rFonts w:asciiTheme="minorHAnsi" w:hAnsiTheme="minorHAnsi" w:cstheme="minorHAnsi"/>
                <w:lang w:val="sv-SE"/>
              </w:rPr>
              <w:t>Ej flyttbenägna, ej utsatta</w:t>
            </w:r>
          </w:p>
        </w:tc>
      </w:tr>
      <w:tr w:rsidR="00CE37DD" w:rsidRPr="007E0B95" w:rsidTr="00E82B36">
        <w:trPr>
          <w:trHeight w:val="300"/>
        </w:trPr>
        <w:tc>
          <w:tcPr>
            <w:tcW w:w="2098" w:type="dxa"/>
            <w:vAlign w:val="center"/>
          </w:tcPr>
          <w:p w:rsidR="00CE37DD" w:rsidRPr="007E0B95" w:rsidRDefault="00CE37DD" w:rsidP="00CE37DD">
            <w:pPr>
              <w:pStyle w:val="Ingetavstnd"/>
              <w:jc w:val="left"/>
              <w:rPr>
                <w:rFonts w:asciiTheme="minorHAnsi" w:hAnsiTheme="minorHAnsi" w:cstheme="minorHAnsi"/>
                <w:lang w:val="sv-SE"/>
              </w:rPr>
            </w:pPr>
            <w:r w:rsidRPr="007E0B95">
              <w:rPr>
                <w:rFonts w:asciiTheme="minorHAnsi" w:hAnsiTheme="minorHAnsi" w:cstheme="minorHAnsi"/>
                <w:lang w:val="sv-SE"/>
              </w:rPr>
              <w:t xml:space="preserve">Andel av unga vuxna Storgöteborg, </w:t>
            </w:r>
            <w:r w:rsidR="0000619A" w:rsidRPr="007E0B95">
              <w:rPr>
                <w:rFonts w:asciiTheme="minorHAnsi" w:hAnsiTheme="minorHAnsi" w:cstheme="minorHAnsi"/>
                <w:lang w:val="sv-SE"/>
              </w:rPr>
              <w:t xml:space="preserve"> procent</w:t>
            </w:r>
          </w:p>
        </w:tc>
        <w:tc>
          <w:tcPr>
            <w:tcW w:w="2324" w:type="dxa"/>
            <w:vAlign w:val="center"/>
          </w:tcPr>
          <w:p w:rsidR="00CE37DD" w:rsidRPr="007E0B95" w:rsidRDefault="00CE37DD" w:rsidP="00877B4B">
            <w:pPr>
              <w:pStyle w:val="Ingetavstnd"/>
              <w:jc w:val="right"/>
              <w:rPr>
                <w:rFonts w:asciiTheme="minorHAnsi" w:hAnsiTheme="minorHAnsi" w:cstheme="minorHAnsi"/>
                <w:lang w:val="sv-SE"/>
              </w:rPr>
            </w:pPr>
            <w:r w:rsidRPr="007E0B95">
              <w:rPr>
                <w:rFonts w:asciiTheme="minorHAnsi" w:hAnsiTheme="minorHAnsi" w:cstheme="minorHAnsi"/>
                <w:lang w:val="sv-SE"/>
              </w:rPr>
              <w:t>38.5</w:t>
            </w:r>
            <w:r w:rsidR="0000619A" w:rsidRPr="007E0B95">
              <w:rPr>
                <w:rFonts w:asciiTheme="minorHAnsi" w:hAnsiTheme="minorHAnsi" w:cstheme="minorHAnsi"/>
                <w:lang w:val="sv-SE"/>
              </w:rPr>
              <w:t xml:space="preserve"> </w:t>
            </w:r>
            <w:r w:rsidR="00877B4B">
              <w:rPr>
                <w:rFonts w:asciiTheme="minorHAnsi" w:hAnsiTheme="minorHAnsi" w:cstheme="minorHAnsi"/>
                <w:lang w:val="sv-SE"/>
              </w:rPr>
              <w:t>%</w:t>
            </w:r>
          </w:p>
        </w:tc>
        <w:tc>
          <w:tcPr>
            <w:tcW w:w="2324" w:type="dxa"/>
            <w:vAlign w:val="center"/>
          </w:tcPr>
          <w:p w:rsidR="00CE37DD" w:rsidRPr="007E0B95" w:rsidRDefault="00CE37DD" w:rsidP="00877B4B">
            <w:pPr>
              <w:pStyle w:val="Ingetavstnd"/>
              <w:jc w:val="right"/>
              <w:rPr>
                <w:rFonts w:asciiTheme="minorHAnsi" w:hAnsiTheme="minorHAnsi" w:cstheme="minorHAnsi"/>
                <w:lang w:val="sv-SE"/>
              </w:rPr>
            </w:pPr>
            <w:r w:rsidRPr="007E0B95">
              <w:rPr>
                <w:rFonts w:asciiTheme="minorHAnsi" w:hAnsiTheme="minorHAnsi" w:cstheme="minorHAnsi"/>
                <w:lang w:val="sv-SE"/>
              </w:rPr>
              <w:t>30.2</w:t>
            </w:r>
            <w:r w:rsidR="0000619A" w:rsidRPr="007E0B95">
              <w:rPr>
                <w:rFonts w:asciiTheme="minorHAnsi" w:hAnsiTheme="minorHAnsi" w:cstheme="minorHAnsi"/>
                <w:lang w:val="sv-SE"/>
              </w:rPr>
              <w:t xml:space="preserve"> </w:t>
            </w:r>
            <w:r w:rsidR="00877B4B">
              <w:rPr>
                <w:rFonts w:asciiTheme="minorHAnsi" w:hAnsiTheme="minorHAnsi" w:cstheme="minorHAnsi"/>
                <w:lang w:val="sv-SE"/>
              </w:rPr>
              <w:t>%</w:t>
            </w:r>
          </w:p>
        </w:tc>
        <w:tc>
          <w:tcPr>
            <w:tcW w:w="2324" w:type="dxa"/>
            <w:vAlign w:val="center"/>
          </w:tcPr>
          <w:p w:rsidR="00CE37DD" w:rsidRPr="007E0B95" w:rsidRDefault="00CE37DD" w:rsidP="00877B4B">
            <w:pPr>
              <w:pStyle w:val="Ingetavstnd"/>
              <w:jc w:val="right"/>
              <w:rPr>
                <w:rFonts w:asciiTheme="minorHAnsi" w:hAnsiTheme="minorHAnsi" w:cstheme="minorHAnsi"/>
                <w:lang w:val="sv-SE"/>
              </w:rPr>
            </w:pPr>
            <w:r w:rsidRPr="007E0B95">
              <w:rPr>
                <w:rFonts w:asciiTheme="minorHAnsi" w:hAnsiTheme="minorHAnsi" w:cstheme="minorHAnsi"/>
                <w:lang w:val="sv-SE"/>
              </w:rPr>
              <w:t>31.3</w:t>
            </w:r>
            <w:r w:rsidR="0000619A" w:rsidRPr="007E0B95">
              <w:rPr>
                <w:rFonts w:asciiTheme="minorHAnsi" w:hAnsiTheme="minorHAnsi" w:cstheme="minorHAnsi"/>
                <w:lang w:val="sv-SE"/>
              </w:rPr>
              <w:t xml:space="preserve"> </w:t>
            </w:r>
            <w:r w:rsidR="00877B4B">
              <w:rPr>
                <w:rFonts w:asciiTheme="minorHAnsi" w:hAnsiTheme="minorHAnsi" w:cstheme="minorHAnsi"/>
                <w:lang w:val="sv-SE"/>
              </w:rPr>
              <w:t>%</w:t>
            </w:r>
          </w:p>
        </w:tc>
      </w:tr>
      <w:tr w:rsidR="009001C3" w:rsidRPr="007E0B95" w:rsidTr="00E82B36">
        <w:trPr>
          <w:trHeight w:val="300"/>
        </w:trPr>
        <w:tc>
          <w:tcPr>
            <w:tcW w:w="2098" w:type="dxa"/>
            <w:tcBorders>
              <w:bottom w:val="single" w:sz="4" w:space="0" w:color="auto"/>
            </w:tcBorders>
            <w:vAlign w:val="center"/>
          </w:tcPr>
          <w:p w:rsidR="009001C3" w:rsidRPr="007E0B95" w:rsidRDefault="009001C3" w:rsidP="009001C3">
            <w:pPr>
              <w:pStyle w:val="Ingetavstnd"/>
              <w:jc w:val="left"/>
              <w:rPr>
                <w:rFonts w:asciiTheme="minorHAnsi" w:hAnsiTheme="minorHAnsi" w:cstheme="minorHAnsi"/>
                <w:lang w:val="sv-SE"/>
              </w:rPr>
            </w:pPr>
            <w:r w:rsidRPr="007E0B95">
              <w:rPr>
                <w:rFonts w:asciiTheme="minorHAnsi" w:hAnsiTheme="minorHAnsi" w:cstheme="minorHAnsi"/>
                <w:lang w:val="sv-SE"/>
              </w:rPr>
              <w:t>Medelinkomst efter</w:t>
            </w:r>
            <w:r w:rsidR="002F33E3" w:rsidRPr="007E0B95">
              <w:rPr>
                <w:rFonts w:asciiTheme="minorHAnsi" w:hAnsiTheme="minorHAnsi" w:cstheme="minorHAnsi"/>
                <w:lang w:val="sv-SE"/>
              </w:rPr>
              <w:t xml:space="preserve"> </w:t>
            </w:r>
            <w:r w:rsidRPr="007E0B95">
              <w:rPr>
                <w:rFonts w:asciiTheme="minorHAnsi" w:hAnsiTheme="minorHAnsi" w:cstheme="minorHAnsi"/>
                <w:lang w:val="sv-SE"/>
              </w:rPr>
              <w:t>boendekostnader, kr</w:t>
            </w:r>
          </w:p>
        </w:tc>
        <w:tc>
          <w:tcPr>
            <w:tcW w:w="2324" w:type="dxa"/>
            <w:tcBorders>
              <w:bottom w:val="single" w:sz="4" w:space="0" w:color="auto"/>
            </w:tcBorders>
            <w:vAlign w:val="center"/>
          </w:tcPr>
          <w:p w:rsidR="009001C3" w:rsidRPr="007E0B95" w:rsidRDefault="009001C3" w:rsidP="009001C3">
            <w:pPr>
              <w:pStyle w:val="Ingetavstnd"/>
              <w:jc w:val="right"/>
              <w:rPr>
                <w:rFonts w:asciiTheme="minorHAnsi" w:hAnsiTheme="minorHAnsi" w:cstheme="minorHAnsi"/>
                <w:lang w:val="sv-SE"/>
              </w:rPr>
            </w:pPr>
            <w:r w:rsidRPr="007E0B95">
              <w:rPr>
                <w:rFonts w:asciiTheme="minorHAnsi" w:hAnsiTheme="minorHAnsi" w:cstheme="minorHAnsi"/>
                <w:lang w:val="sv-SE"/>
              </w:rPr>
              <w:t>6</w:t>
            </w:r>
            <w:r w:rsidR="002F33E3" w:rsidRPr="007E0B95">
              <w:rPr>
                <w:rFonts w:asciiTheme="minorHAnsi" w:hAnsiTheme="minorHAnsi" w:cstheme="minorHAnsi"/>
                <w:lang w:val="sv-SE"/>
              </w:rPr>
              <w:t> </w:t>
            </w:r>
            <w:r w:rsidRPr="007E0B95">
              <w:rPr>
                <w:rFonts w:asciiTheme="minorHAnsi" w:hAnsiTheme="minorHAnsi" w:cstheme="minorHAnsi"/>
                <w:lang w:val="sv-SE"/>
              </w:rPr>
              <w:t>330</w:t>
            </w:r>
            <w:r w:rsidR="002F33E3" w:rsidRPr="007E0B95">
              <w:rPr>
                <w:rFonts w:asciiTheme="minorHAnsi" w:hAnsiTheme="minorHAnsi" w:cstheme="minorHAnsi"/>
                <w:lang w:val="sv-SE"/>
              </w:rPr>
              <w:t xml:space="preserve"> kr</w:t>
            </w:r>
          </w:p>
        </w:tc>
        <w:tc>
          <w:tcPr>
            <w:tcW w:w="2324" w:type="dxa"/>
            <w:tcBorders>
              <w:bottom w:val="single" w:sz="4" w:space="0" w:color="auto"/>
            </w:tcBorders>
            <w:vAlign w:val="center"/>
          </w:tcPr>
          <w:p w:rsidR="009001C3" w:rsidRPr="007E0B95" w:rsidRDefault="009001C3" w:rsidP="009001C3">
            <w:pPr>
              <w:pStyle w:val="Ingetavstnd"/>
              <w:jc w:val="right"/>
              <w:rPr>
                <w:rFonts w:asciiTheme="minorHAnsi" w:hAnsiTheme="minorHAnsi" w:cstheme="minorHAnsi"/>
                <w:lang w:val="sv-SE"/>
              </w:rPr>
            </w:pPr>
            <w:r w:rsidRPr="007E0B95">
              <w:rPr>
                <w:rFonts w:asciiTheme="minorHAnsi" w:hAnsiTheme="minorHAnsi" w:cstheme="minorHAnsi"/>
                <w:lang w:val="sv-SE"/>
              </w:rPr>
              <w:t>13</w:t>
            </w:r>
            <w:r w:rsidR="002F33E3" w:rsidRPr="007E0B95">
              <w:rPr>
                <w:rFonts w:asciiTheme="minorHAnsi" w:hAnsiTheme="minorHAnsi" w:cstheme="minorHAnsi"/>
                <w:lang w:val="sv-SE"/>
              </w:rPr>
              <w:t> </w:t>
            </w:r>
            <w:r w:rsidRPr="007E0B95">
              <w:rPr>
                <w:rFonts w:asciiTheme="minorHAnsi" w:hAnsiTheme="minorHAnsi" w:cstheme="minorHAnsi"/>
                <w:lang w:val="sv-SE"/>
              </w:rPr>
              <w:t>645</w:t>
            </w:r>
            <w:r w:rsidR="002F33E3" w:rsidRPr="007E0B95">
              <w:rPr>
                <w:rFonts w:asciiTheme="minorHAnsi" w:hAnsiTheme="minorHAnsi" w:cstheme="minorHAnsi"/>
                <w:lang w:val="sv-SE"/>
              </w:rPr>
              <w:t xml:space="preserve"> kr</w:t>
            </w:r>
          </w:p>
        </w:tc>
        <w:tc>
          <w:tcPr>
            <w:tcW w:w="2324" w:type="dxa"/>
            <w:tcBorders>
              <w:bottom w:val="single" w:sz="4" w:space="0" w:color="auto"/>
            </w:tcBorders>
            <w:vAlign w:val="center"/>
          </w:tcPr>
          <w:p w:rsidR="009001C3" w:rsidRPr="007E0B95" w:rsidRDefault="009001C3" w:rsidP="009001C3">
            <w:pPr>
              <w:pStyle w:val="Ingetavstnd"/>
              <w:jc w:val="right"/>
              <w:rPr>
                <w:rFonts w:asciiTheme="minorHAnsi" w:hAnsiTheme="minorHAnsi" w:cstheme="minorHAnsi"/>
                <w:lang w:val="sv-SE"/>
              </w:rPr>
            </w:pPr>
            <w:r w:rsidRPr="007E0B95">
              <w:rPr>
                <w:rFonts w:asciiTheme="minorHAnsi" w:hAnsiTheme="minorHAnsi" w:cstheme="minorHAnsi"/>
                <w:lang w:val="sv-SE"/>
              </w:rPr>
              <w:t>10</w:t>
            </w:r>
            <w:r w:rsidR="002F33E3" w:rsidRPr="007E0B95">
              <w:rPr>
                <w:rFonts w:asciiTheme="minorHAnsi" w:hAnsiTheme="minorHAnsi" w:cstheme="minorHAnsi"/>
                <w:lang w:val="sv-SE"/>
              </w:rPr>
              <w:t> </w:t>
            </w:r>
            <w:r w:rsidRPr="007E0B95">
              <w:rPr>
                <w:rFonts w:asciiTheme="minorHAnsi" w:hAnsiTheme="minorHAnsi" w:cstheme="minorHAnsi"/>
                <w:lang w:val="sv-SE"/>
              </w:rPr>
              <w:t>161</w:t>
            </w:r>
            <w:r w:rsidR="002F33E3" w:rsidRPr="007E0B95">
              <w:rPr>
                <w:rFonts w:asciiTheme="minorHAnsi" w:hAnsiTheme="minorHAnsi" w:cstheme="minorHAnsi"/>
                <w:lang w:val="sv-SE"/>
              </w:rPr>
              <w:t xml:space="preserve"> kr</w:t>
            </w:r>
          </w:p>
        </w:tc>
      </w:tr>
    </w:tbl>
    <w:p w:rsidR="009001C3" w:rsidRPr="007E0B95" w:rsidRDefault="009001C3" w:rsidP="009001C3">
      <w:pPr>
        <w:pStyle w:val="Ingetavstnd"/>
      </w:pPr>
    </w:p>
    <w:p w:rsidR="00024B43" w:rsidRPr="007E0B95" w:rsidRDefault="00E17888" w:rsidP="00D02960">
      <w:r w:rsidRPr="007E0B95">
        <w:t>För var och en av grupperna visar modellen</w:t>
      </w:r>
      <w:r w:rsidR="00C16822" w:rsidRPr="007E0B95">
        <w:t xml:space="preserve"> </w:t>
      </w:r>
      <w:r w:rsidRPr="007E0B95">
        <w:t xml:space="preserve">sannolikheten för att en indikator ska </w:t>
      </w:r>
      <w:r w:rsidRPr="007E0B95">
        <w:rPr>
          <w:i/>
        </w:rPr>
        <w:t>föreligga</w:t>
      </w:r>
      <w:r w:rsidRPr="007E0B95">
        <w:t xml:space="preserve"> för en person som ingår i gruppen, eller den sannolika </w:t>
      </w:r>
      <w:r w:rsidRPr="007E0B95">
        <w:rPr>
          <w:i/>
        </w:rPr>
        <w:t>nivån</w:t>
      </w:r>
      <w:r w:rsidRPr="007E0B95">
        <w:t xml:space="preserve"> av en indikator för en person som ingår i gruppen.</w:t>
      </w:r>
      <w:r w:rsidRPr="007E0B95">
        <w:rPr>
          <w:rStyle w:val="Fotnotsreferens"/>
          <w:vertAlign w:val="superscript"/>
        </w:rPr>
        <w:footnoteReference w:id="4"/>
      </w:r>
      <w:r w:rsidRPr="007E0B95">
        <w:rPr>
          <w:vertAlign w:val="superscript"/>
        </w:rPr>
        <w:t xml:space="preserve"> </w:t>
      </w:r>
      <w:r w:rsidR="00802D53" w:rsidRPr="007E0B95">
        <w:t>I figur 6</w:t>
      </w:r>
      <w:r w:rsidR="00024B43" w:rsidRPr="007E0B95">
        <w:t xml:space="preserve"> visas dessa sannolikheter </w:t>
      </w:r>
      <w:r w:rsidR="00024B43" w:rsidRPr="007E0B95">
        <w:rPr>
          <w:i/>
        </w:rPr>
        <w:t>relativt</w:t>
      </w:r>
      <w:r w:rsidR="00024B43" w:rsidRPr="007E0B95">
        <w:t xml:space="preserve"> mot genomsnittssannolikheterna.</w:t>
      </w:r>
      <w:r w:rsidR="003A4D68" w:rsidRPr="007E0B95">
        <w:rPr>
          <w:rStyle w:val="Fotnotsreferens"/>
          <w:vertAlign w:val="superscript"/>
        </w:rPr>
        <w:footnoteReference w:id="5"/>
      </w:r>
      <w:r w:rsidR="00024B43" w:rsidRPr="007E0B95">
        <w:rPr>
          <w:vertAlign w:val="superscript"/>
        </w:rPr>
        <w:t xml:space="preserve"> </w:t>
      </w:r>
      <w:r w:rsidR="00024B43" w:rsidRPr="007E0B95">
        <w:t>Figuren</w:t>
      </w:r>
      <w:r w:rsidR="00F362B6" w:rsidRPr="007E0B95">
        <w:t xml:space="preserve"> nedan</w:t>
      </w:r>
      <w:r w:rsidR="00024B43" w:rsidRPr="007E0B95">
        <w:t xml:space="preserve"> ska tolkas så att en medlem i till exempel </w:t>
      </w:r>
      <w:r w:rsidR="002A1A3C" w:rsidRPr="007E0B95">
        <w:t>G</w:t>
      </w:r>
      <w:r w:rsidR="00024B43" w:rsidRPr="007E0B95">
        <w:t>rupp</w:t>
      </w:r>
      <w:r w:rsidR="002A1A3C" w:rsidRPr="007E0B95">
        <w:t xml:space="preserve"> 1</w:t>
      </w:r>
      <w:r w:rsidR="00024B43" w:rsidRPr="007E0B95">
        <w:t xml:space="preserve"> har </w:t>
      </w:r>
      <w:r w:rsidR="002A1A3C" w:rsidRPr="007E0B95">
        <w:t>drygt</w:t>
      </w:r>
      <w:r w:rsidR="00024B43" w:rsidRPr="007E0B95">
        <w:t xml:space="preserve"> </w:t>
      </w:r>
      <w:r w:rsidR="002A1A3C" w:rsidRPr="007E0B95">
        <w:t>18</w:t>
      </w:r>
      <w:r w:rsidR="0000619A" w:rsidRPr="007E0B95">
        <w:t xml:space="preserve"> procent</w:t>
      </w:r>
      <w:r w:rsidR="00024B43" w:rsidRPr="007E0B95">
        <w:t xml:space="preserve"> lägre sannolikhet att ha en trygg anställningsform</w:t>
      </w:r>
      <w:r w:rsidR="004B37C4" w:rsidRPr="007E0B95">
        <w:t xml:space="preserve"> (indikato</w:t>
      </w:r>
      <w:r w:rsidR="00802D53" w:rsidRPr="007E0B95">
        <w:t>rn längst till vänster i figur 6</w:t>
      </w:r>
      <w:r w:rsidR="004B37C4" w:rsidRPr="007E0B95">
        <w:t>)</w:t>
      </w:r>
      <w:r w:rsidR="00024B43" w:rsidRPr="007E0B95">
        <w:t xml:space="preserve">, än </w:t>
      </w:r>
      <w:r w:rsidR="002A1A3C" w:rsidRPr="007E0B95">
        <w:t>genomsnittet</w:t>
      </w:r>
      <w:r w:rsidR="00024B43" w:rsidRPr="007E0B95">
        <w:t>.</w:t>
      </w:r>
      <w:r w:rsidR="002A1A3C" w:rsidRPr="007E0B95">
        <w:t xml:space="preserve"> Jämfört med Grupp 2 är skillnaden omkring 36</w:t>
      </w:r>
      <w:r w:rsidR="0000619A" w:rsidRPr="007E0B95">
        <w:t xml:space="preserve"> procent</w:t>
      </w:r>
      <w:r w:rsidR="002A1A3C" w:rsidRPr="007E0B95">
        <w:t xml:space="preserve"> (eftersom Grupp 2 ligger </w:t>
      </w:r>
      <w:r w:rsidR="00610F56" w:rsidRPr="007E0B95">
        <w:t>18</w:t>
      </w:r>
      <w:r w:rsidR="0000619A" w:rsidRPr="007E0B95">
        <w:t xml:space="preserve"> procent</w:t>
      </w:r>
      <w:r w:rsidR="002A1A3C" w:rsidRPr="007E0B95">
        <w:t xml:space="preserve"> över genomsnittet för </w:t>
      </w:r>
      <w:r w:rsidR="00081789" w:rsidRPr="007E0B95">
        <w:t>indikatorn</w:t>
      </w:r>
      <w:r w:rsidR="002A1A3C" w:rsidRPr="007E0B95">
        <w:t xml:space="preserve"> trygg anställning).</w:t>
      </w:r>
      <w:r w:rsidR="00C16822" w:rsidRPr="007E0B95">
        <w:t xml:space="preserve"> </w:t>
      </w:r>
    </w:p>
    <w:p w:rsidR="00C41596" w:rsidRPr="007E0B95" w:rsidRDefault="007E1BBA" w:rsidP="007E1BBA">
      <w:r w:rsidRPr="007E0B95">
        <w:t xml:space="preserve">Sammantaget visar modellen att det går att gruppera unga vuxna baserat på utsatthetindikatorerna och övriga variabler för preferenser och upplevelser av svårigheter på bostadsmarknaden. Modellen visar också att det också går att gruppera variablerna i sig: medlemmar i grupp 1 är inte nödvändigtvis utsatta enligt alla kriterier, men de </w:t>
      </w:r>
      <w:r w:rsidRPr="007E0B95">
        <w:rPr>
          <w:i/>
        </w:rPr>
        <w:t>löper högre risk för samtliga utsatthetsindikatorer</w:t>
      </w:r>
      <w:r w:rsidRPr="007E0B95">
        <w:t xml:space="preserve"> och de har med </w:t>
      </w:r>
      <w:r w:rsidRPr="007E0B95">
        <w:rPr>
          <w:i/>
        </w:rPr>
        <w:t>högre sannolikhet lägre inkomst</w:t>
      </w:r>
      <w:r w:rsidRPr="007E0B95">
        <w:t xml:space="preserve"> efter boendekostnader. Utsatthet enligt ett kriterium ökar alltså sannolikheten för utsatthet enligt övriga kriterier</w:t>
      </w:r>
      <w:r>
        <w:t>.</w:t>
      </w:r>
    </w:p>
    <w:p w:rsidR="00024B43" w:rsidRPr="007E0B95" w:rsidRDefault="00AF555B" w:rsidP="00024B43">
      <w:pPr>
        <w:pStyle w:val="Ingetavstnd"/>
        <w:keepNext/>
      </w:pPr>
      <w:r w:rsidRPr="007E0B95">
        <w:rPr>
          <w:noProof/>
          <w:lang w:eastAsia="sv-SE"/>
        </w:rPr>
        <w:lastRenderedPageBreak/>
        <w:drawing>
          <wp:inline distT="0" distB="0" distL="0" distR="0" wp14:anchorId="277254F3" wp14:editId="20BA2409">
            <wp:extent cx="5760000" cy="4680000"/>
            <wp:effectExtent l="0" t="0" r="0" b="6350"/>
            <wp:docPr id="39" name="Chart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7B4B" w:rsidRDefault="00877B4B" w:rsidP="00877B4B">
      <w:pPr>
        <w:pStyle w:val="Beskrivning"/>
        <w:spacing w:after="0"/>
        <w:rPr>
          <w:lang w:val="sv-SE"/>
        </w:rPr>
      </w:pPr>
    </w:p>
    <w:p w:rsidR="004F37CF" w:rsidRPr="007E0B95" w:rsidRDefault="00024B43">
      <w:pPr>
        <w:pStyle w:val="Beskrivning"/>
        <w:rPr>
          <w:lang w:val="sv-SE"/>
        </w:rPr>
      </w:pPr>
      <w:r w:rsidRPr="007E0B95">
        <w:rPr>
          <w:lang w:val="sv-SE"/>
        </w:rPr>
        <w:t xml:space="preserve">Figur </w:t>
      </w:r>
      <w:r w:rsidRPr="007E0B95">
        <w:rPr>
          <w:lang w:val="sv-SE"/>
        </w:rPr>
        <w:fldChar w:fldCharType="begin"/>
      </w:r>
      <w:r w:rsidRPr="007E0B95">
        <w:rPr>
          <w:lang w:val="sv-SE"/>
        </w:rPr>
        <w:instrText xml:space="preserve"> SEQ Figur \* ARABIC </w:instrText>
      </w:r>
      <w:r w:rsidRPr="007E0B95">
        <w:rPr>
          <w:lang w:val="sv-SE"/>
        </w:rPr>
        <w:fldChar w:fldCharType="separate"/>
      </w:r>
      <w:r w:rsidR="006450EC">
        <w:rPr>
          <w:noProof/>
          <w:lang w:val="sv-SE"/>
        </w:rPr>
        <w:t>6</w:t>
      </w:r>
      <w:r w:rsidRPr="007E0B95">
        <w:rPr>
          <w:lang w:val="sv-SE"/>
        </w:rPr>
        <w:fldChar w:fldCharType="end"/>
      </w:r>
      <w:r w:rsidR="00A4403C" w:rsidRPr="007E0B95">
        <w:rPr>
          <w:lang w:val="sv-SE"/>
        </w:rPr>
        <w:t xml:space="preserve">, sannolikheter för olika </w:t>
      </w:r>
      <w:r w:rsidR="0099324F" w:rsidRPr="007E0B95">
        <w:rPr>
          <w:lang w:val="sv-SE"/>
        </w:rPr>
        <w:t>utsatthets</w:t>
      </w:r>
      <w:r w:rsidR="00A4403C" w:rsidRPr="007E0B95">
        <w:rPr>
          <w:lang w:val="sv-SE"/>
        </w:rPr>
        <w:t>indikatorer</w:t>
      </w:r>
      <w:r w:rsidR="004705FB" w:rsidRPr="007E0B95">
        <w:rPr>
          <w:lang w:val="sv-SE"/>
        </w:rPr>
        <w:t xml:space="preserve"> och upplevda möjligheter</w:t>
      </w:r>
      <w:r w:rsidR="00A4403C" w:rsidRPr="007E0B95">
        <w:rPr>
          <w:lang w:val="sv-SE"/>
        </w:rPr>
        <w:t xml:space="preserve"> för medlemmar i olka grupper</w:t>
      </w:r>
      <w:r w:rsidR="004705FB" w:rsidRPr="007E0B95">
        <w:rPr>
          <w:lang w:val="sv-SE"/>
        </w:rPr>
        <w:t>.</w:t>
      </w:r>
    </w:p>
    <w:p w:rsidR="006055E4" w:rsidRPr="007E0B95" w:rsidRDefault="007E1BBA" w:rsidP="00D02960">
      <w:r>
        <w:t xml:space="preserve">Linjerna i figuren visar alltså </w:t>
      </w:r>
      <w:r w:rsidRPr="007E1BBA">
        <w:rPr>
          <w:i/>
        </w:rPr>
        <w:t>sannolikheten</w:t>
      </w:r>
      <w:r>
        <w:t xml:space="preserve"> för de olika indikatorerna. Den röda linjen här representerar den utsatta gruppen, Grupp 1. </w:t>
      </w:r>
      <w:r w:rsidR="006055E4" w:rsidRPr="007E0B95">
        <w:t>I Storgöteborg är det 38,5</w:t>
      </w:r>
      <w:r w:rsidR="0000619A" w:rsidRPr="007E0B95">
        <w:t xml:space="preserve"> procent</w:t>
      </w:r>
      <w:r w:rsidR="006055E4" w:rsidRPr="007E0B95">
        <w:t xml:space="preserve">, eller runt 32 900 personer, av unga vuxna som ingår i den utsatta gruppen. Personerna i denna grupp </w:t>
      </w:r>
      <w:r w:rsidR="00802D53" w:rsidRPr="007E0B95">
        <w:t>har</w:t>
      </w:r>
      <w:r w:rsidR="004B37C4" w:rsidRPr="007E0B95">
        <w:t xml:space="preserve"> med högre sannolikhet än övriga otryggt boende och </w:t>
      </w:r>
      <w:r w:rsidR="00964261" w:rsidRPr="007E0B95">
        <w:t xml:space="preserve">otrygg </w:t>
      </w:r>
      <w:r w:rsidR="00802D53" w:rsidRPr="007E0B95">
        <w:t xml:space="preserve">anställningsform, en </w:t>
      </w:r>
      <w:r w:rsidR="004B37C4" w:rsidRPr="007E0B95">
        <w:t xml:space="preserve">medelhyra under </w:t>
      </w:r>
      <w:r w:rsidR="004C77AD" w:rsidRPr="007E0B95">
        <w:t>Ko</w:t>
      </w:r>
      <w:r w:rsidR="004B37C4" w:rsidRPr="007E0B95">
        <w:t>nsumentverkets basniv</w:t>
      </w:r>
      <w:r w:rsidR="00802D53" w:rsidRPr="007E0B95">
        <w:t>å för normal konsumtion, bor med</w:t>
      </w:r>
      <w:r w:rsidR="004B37C4" w:rsidRPr="007E0B95">
        <w:t xml:space="preserve"> högre sannolikhet i tidsbegränsa</w:t>
      </w:r>
      <w:r w:rsidR="00964261" w:rsidRPr="007E0B95">
        <w:t>t</w:t>
      </w:r>
      <w:r w:rsidR="004B37C4" w:rsidRPr="007E0B95">
        <w:t xml:space="preserve"> boende</w:t>
      </w:r>
      <w:r w:rsidR="000F7C2D" w:rsidRPr="007E0B95">
        <w:t xml:space="preserve"> och </w:t>
      </w:r>
      <w:r w:rsidR="0099324F" w:rsidRPr="007E0B95">
        <w:t>har s</w:t>
      </w:r>
      <w:r w:rsidR="00802D53" w:rsidRPr="007E0B95">
        <w:t xml:space="preserve">vårt att klara </w:t>
      </w:r>
      <w:r w:rsidR="006055E4" w:rsidRPr="007E0B95">
        <w:t xml:space="preserve">sina </w:t>
      </w:r>
      <w:r w:rsidR="00802D53" w:rsidRPr="007E0B95">
        <w:t>boendekostnader</w:t>
      </w:r>
      <w:r w:rsidR="006055E4" w:rsidRPr="007E0B95">
        <w:t>.</w:t>
      </w:r>
      <w:r w:rsidR="00802D53" w:rsidRPr="007E0B95">
        <w:t xml:space="preserve"> Personer i grupp 1</w:t>
      </w:r>
      <w:r w:rsidR="004B37C4" w:rsidRPr="007E0B95">
        <w:t xml:space="preserve"> har </w:t>
      </w:r>
      <w:r w:rsidR="00802D53" w:rsidRPr="007E0B95">
        <w:t xml:space="preserve">med andra ord </w:t>
      </w:r>
      <w:r w:rsidR="004B37C4" w:rsidRPr="007E0B95">
        <w:t xml:space="preserve">alla skäl att försöka påverka sin situation till det bättre. </w:t>
      </w:r>
      <w:r w:rsidR="002A56F3" w:rsidRPr="007E0B95">
        <w:t xml:space="preserve">Det märks bland annat genom att personer i denna grupp </w:t>
      </w:r>
      <w:r w:rsidR="00067740" w:rsidRPr="007E0B95">
        <w:t>har 9</w:t>
      </w:r>
      <w:r w:rsidR="0000619A" w:rsidRPr="007E0B95">
        <w:t xml:space="preserve"> procent</w:t>
      </w:r>
      <w:r w:rsidR="00067740" w:rsidRPr="007E0B95">
        <w:t xml:space="preserve"> lägre sannolik nivå av nöjdhet med sitt boende</w:t>
      </w:r>
      <w:r w:rsidR="002A56F3" w:rsidRPr="007E0B95">
        <w:t xml:space="preserve"> </w:t>
      </w:r>
      <w:r w:rsidR="00081789" w:rsidRPr="007E0B95">
        <w:t xml:space="preserve">än genomsnittet </w:t>
      </w:r>
      <w:r w:rsidR="00067740" w:rsidRPr="007E0B95">
        <w:t xml:space="preserve">och det är </w:t>
      </w:r>
      <w:r w:rsidR="00807190" w:rsidRPr="007E0B95">
        <w:t>19</w:t>
      </w:r>
      <w:r w:rsidR="0000619A" w:rsidRPr="007E0B95">
        <w:t xml:space="preserve"> procent</w:t>
      </w:r>
      <w:r w:rsidR="00807190" w:rsidRPr="007E0B95">
        <w:t xml:space="preserve"> troligare </w:t>
      </w:r>
      <w:r w:rsidR="000F7C2D" w:rsidRPr="007E0B95">
        <w:t xml:space="preserve">än genomsnittet </w:t>
      </w:r>
      <w:r w:rsidR="00807190" w:rsidRPr="007E0B95">
        <w:t>att de vill flytta</w:t>
      </w:r>
      <w:r w:rsidR="002A56F3" w:rsidRPr="007E0B95">
        <w:t xml:space="preserve">. </w:t>
      </w:r>
      <w:r w:rsidR="004B37C4" w:rsidRPr="007E0B95">
        <w:t xml:space="preserve">Det är emellertid också denna grupp som har svårast att få hjälp </w:t>
      </w:r>
      <w:r w:rsidR="000F7C2D" w:rsidRPr="007E0B95">
        <w:t xml:space="preserve">om </w:t>
      </w:r>
      <w:r w:rsidR="004B37C4" w:rsidRPr="007E0B95">
        <w:t>de behöver</w:t>
      </w:r>
      <w:r w:rsidR="000F7C2D" w:rsidRPr="007E0B95">
        <w:t xml:space="preserve"> </w:t>
      </w:r>
      <w:r w:rsidR="000C0A47" w:rsidRPr="007E0B95">
        <w:t>för</w:t>
      </w:r>
      <w:r w:rsidR="000F7C2D" w:rsidRPr="007E0B95">
        <w:t xml:space="preserve"> att ändra sin situation</w:t>
      </w:r>
      <w:r w:rsidR="004B37C4" w:rsidRPr="007E0B95">
        <w:t xml:space="preserve">, till exempel med handpenning till bostadsköp </w:t>
      </w:r>
      <w:r w:rsidR="00685D6C" w:rsidRPr="007E0B95">
        <w:t>(15</w:t>
      </w:r>
      <w:r w:rsidR="0000619A" w:rsidRPr="007E0B95">
        <w:t xml:space="preserve"> procent</w:t>
      </w:r>
      <w:r w:rsidR="00685D6C" w:rsidRPr="007E0B95">
        <w:t xml:space="preserve"> högre sannolikhet </w:t>
      </w:r>
      <w:r w:rsidR="00595D49" w:rsidRPr="007E0B95">
        <w:t xml:space="preserve">än genomsnittet </w:t>
      </w:r>
      <w:r w:rsidR="00685D6C" w:rsidRPr="007E0B95">
        <w:t xml:space="preserve">att inte få </w:t>
      </w:r>
      <w:r w:rsidR="008365EC" w:rsidRPr="007E0B95">
        <w:t>ekonomisk hjälp vid husköp</w:t>
      </w:r>
      <w:r w:rsidR="00685D6C" w:rsidRPr="007E0B95">
        <w:t xml:space="preserve">) </w:t>
      </w:r>
      <w:r w:rsidR="004B37C4" w:rsidRPr="007E0B95">
        <w:t>eller genom att en anhörig ställer upp som borgenär</w:t>
      </w:r>
      <w:r w:rsidR="00595D49" w:rsidRPr="007E0B95">
        <w:t xml:space="preserve"> (12</w:t>
      </w:r>
      <w:r w:rsidR="0000619A" w:rsidRPr="007E0B95">
        <w:t xml:space="preserve"> procent</w:t>
      </w:r>
      <w:r w:rsidR="00595D49" w:rsidRPr="007E0B95">
        <w:t xml:space="preserve"> högre sannolikhet än genomsnittet att inte få hjälp med borgenär)</w:t>
      </w:r>
      <w:r w:rsidR="004B37C4" w:rsidRPr="007E0B95">
        <w:t xml:space="preserve">. </w:t>
      </w:r>
    </w:p>
    <w:p w:rsidR="004C77AD" w:rsidRPr="007E0B95" w:rsidRDefault="00964261" w:rsidP="00D02960">
      <w:r w:rsidRPr="007E0B95">
        <w:t xml:space="preserve">Även om de rättar mun efter matsäck (de prioriterar </w:t>
      </w:r>
      <w:r w:rsidR="004C77AD" w:rsidRPr="007E0B95">
        <w:t>till exempel</w:t>
      </w:r>
      <w:r w:rsidR="002A1A3C" w:rsidRPr="007E0B95">
        <w:t xml:space="preserve"> med större sannolikhet</w:t>
      </w:r>
      <w:r w:rsidR="004C77AD" w:rsidRPr="007E0B95">
        <w:t xml:space="preserve"> </w:t>
      </w:r>
      <w:r w:rsidRPr="007E0B95">
        <w:t xml:space="preserve">billigt framför bra boende) är det </w:t>
      </w:r>
      <w:r w:rsidR="004C77AD" w:rsidRPr="007E0B95">
        <w:t xml:space="preserve">därför </w:t>
      </w:r>
      <w:r w:rsidRPr="007E0B95">
        <w:t xml:space="preserve">denna grupp som i lägst utsträckning upplever att de </w:t>
      </w:r>
      <w:r w:rsidR="004C77AD" w:rsidRPr="007E0B95">
        <w:t xml:space="preserve">har råd att </w:t>
      </w:r>
      <w:r w:rsidRPr="007E0B95">
        <w:t xml:space="preserve">bo där de vill. </w:t>
      </w:r>
      <w:r w:rsidR="004C77AD" w:rsidRPr="007E0B95">
        <w:t>Följden blir att det också är denna grupp, som är i störst behov av att förändra sin situation</w:t>
      </w:r>
      <w:r w:rsidR="0099324F" w:rsidRPr="007E0B95">
        <w:t>,</w:t>
      </w:r>
      <w:r w:rsidR="004C77AD" w:rsidRPr="007E0B95">
        <w:t xml:space="preserve"> som har minst möjlighet att göra det</w:t>
      </w:r>
      <w:r w:rsidR="00E27479" w:rsidRPr="007E0B95">
        <w:t>. I förlängningen leder det till en</w:t>
      </w:r>
      <w:r w:rsidR="004C77AD" w:rsidRPr="007E0B95">
        <w:t xml:space="preserve"> högre tveksamhet inför att agera på möjligheter i form att jobb eller utbildning på en annan ort</w:t>
      </w:r>
      <w:r w:rsidR="00595D49" w:rsidRPr="007E0B95">
        <w:t>. Nivån av tveksamhet inför att flytta till jobb/utbildning för denna grupp är drygt 11 procent högre än genomsnittet</w:t>
      </w:r>
      <w:r w:rsidR="004C77AD" w:rsidRPr="007E0B95">
        <w:t xml:space="preserve">. Tveksamheten spiller även över i den mer privata sfären: </w:t>
      </w:r>
      <w:r w:rsidR="005C735C" w:rsidRPr="007E0B95">
        <w:t xml:space="preserve">det är mer troligt att </w:t>
      </w:r>
      <w:r w:rsidR="004C77AD" w:rsidRPr="007E0B95">
        <w:t>medlemmar i</w:t>
      </w:r>
      <w:r w:rsidR="00A4403C" w:rsidRPr="007E0B95">
        <w:t xml:space="preserve"> </w:t>
      </w:r>
      <w:r w:rsidR="005C735C" w:rsidRPr="007E0B95">
        <w:t xml:space="preserve">den utsatta gruppen tvekar </w:t>
      </w:r>
      <w:r w:rsidR="004C77AD" w:rsidRPr="007E0B95">
        <w:t xml:space="preserve">i högre </w:t>
      </w:r>
      <w:r w:rsidR="004C77AD" w:rsidRPr="007E0B95">
        <w:lastRenderedPageBreak/>
        <w:t>utsträckning inför att bilda familj.</w:t>
      </w:r>
      <w:r w:rsidR="00A4403C" w:rsidRPr="007E0B95">
        <w:t xml:space="preserve"> </w:t>
      </w:r>
      <w:r w:rsidR="00595D49" w:rsidRPr="007E0B95">
        <w:t>För denna indikator ligger den utsatt</w:t>
      </w:r>
      <w:r w:rsidR="00E91F1B" w:rsidRPr="007E0B95">
        <w:t>a</w:t>
      </w:r>
      <w:r w:rsidR="00595D49" w:rsidRPr="007E0B95">
        <w:t xml:space="preserve"> gruppen på en 12</w:t>
      </w:r>
      <w:r w:rsidR="0000619A" w:rsidRPr="007E0B95">
        <w:t xml:space="preserve"> procent</w:t>
      </w:r>
      <w:r w:rsidR="00595D49" w:rsidRPr="007E0B95">
        <w:t xml:space="preserve"> högre nivå än genomsnittet.</w:t>
      </w:r>
    </w:p>
    <w:p w:rsidR="004C77AD" w:rsidRPr="007E0B95" w:rsidRDefault="00964261">
      <w:r w:rsidRPr="007E0B95">
        <w:t xml:space="preserve">Det omvända kan sägas om </w:t>
      </w:r>
      <w:r w:rsidR="005C735C" w:rsidRPr="007E0B95">
        <w:t>Grupp 2 och 3</w:t>
      </w:r>
      <w:r w:rsidRPr="007E0B95">
        <w:t xml:space="preserve">: medlemmar i dessa grupper </w:t>
      </w:r>
      <w:r w:rsidR="00A4403C" w:rsidRPr="007E0B95">
        <w:t xml:space="preserve">har lättare att få hjälp med till exempel husköp och de upplever också att de har råd att bo där de vill bo och är samtidigt med större sannolikhet nöjda med sitt boende. </w:t>
      </w:r>
      <w:r w:rsidR="009001C3" w:rsidRPr="007E0B95">
        <w:t xml:space="preserve">Medelinkomsterna </w:t>
      </w:r>
      <w:r w:rsidR="002F33E3" w:rsidRPr="007E0B95">
        <w:t>för dessa grupper är betydligt högre, upp till drygt dubbelt så hög som för den utsatta gruppen</w:t>
      </w:r>
      <w:r w:rsidR="005C735C" w:rsidRPr="007E0B95">
        <w:t xml:space="preserve"> (Grupp 1: 6</w:t>
      </w:r>
      <w:r w:rsidR="00E04738" w:rsidRPr="007E0B95">
        <w:t> </w:t>
      </w:r>
      <w:r w:rsidR="005C735C" w:rsidRPr="007E0B95">
        <w:t>330</w:t>
      </w:r>
      <w:r w:rsidR="00E04738" w:rsidRPr="007E0B95">
        <w:t xml:space="preserve"> kr</w:t>
      </w:r>
      <w:r w:rsidR="005C735C" w:rsidRPr="007E0B95">
        <w:t>; Grupp 2: 13</w:t>
      </w:r>
      <w:r w:rsidR="00E04738" w:rsidRPr="007E0B95">
        <w:t> </w:t>
      </w:r>
      <w:r w:rsidR="005C735C" w:rsidRPr="007E0B95">
        <w:t>645</w:t>
      </w:r>
      <w:r w:rsidR="00E04738" w:rsidRPr="007E0B95">
        <w:t xml:space="preserve"> kr</w:t>
      </w:r>
      <w:r w:rsidR="005C735C" w:rsidRPr="007E0B95">
        <w:t>).</w:t>
      </w:r>
      <w:r w:rsidR="002F33E3" w:rsidRPr="007E0B95">
        <w:t xml:space="preserve">  </w:t>
      </w:r>
      <w:r w:rsidR="00A4403C" w:rsidRPr="007E0B95">
        <w:t>De har inte på samma sätt behov av att ändra på sin boendesituation, men de har å andra sidan stora möjligheter att gör</w:t>
      </w:r>
      <w:r w:rsidR="002F33E3" w:rsidRPr="007E0B95">
        <w:t>a</w:t>
      </w:r>
      <w:r w:rsidR="00A4403C" w:rsidRPr="007E0B95">
        <w:t xml:space="preserve"> just det.</w:t>
      </w:r>
    </w:p>
    <w:p w:rsidR="00073A0B" w:rsidRPr="007E0B95" w:rsidRDefault="002F33E3" w:rsidP="000C0A47">
      <w:pPr>
        <w:spacing w:after="160" w:line="259" w:lineRule="auto"/>
        <w:jc w:val="left"/>
      </w:pPr>
      <w:r w:rsidRPr="007E0B95">
        <w:t>Slutsatsen är att det råder</w:t>
      </w:r>
      <w:r w:rsidR="00A4403C" w:rsidRPr="007E0B95">
        <w:t xml:space="preserve"> ett bakvänt förhållande mellan svårigheter och möjligheter på bostadsmarknaden för unga vuxna: de som möter störst svårigheter har också minst möjlig</w:t>
      </w:r>
      <w:r w:rsidRPr="007E0B95">
        <w:t>heter att påverka sin situation, och omvänt</w:t>
      </w:r>
      <w:r w:rsidR="00F90145" w:rsidRPr="007E0B95">
        <w:t>,</w:t>
      </w:r>
      <w:r w:rsidRPr="007E0B95">
        <w:t xml:space="preserve"> de</w:t>
      </w:r>
      <w:r w:rsidR="00685D6C" w:rsidRPr="007E0B95">
        <w:t>m</w:t>
      </w:r>
      <w:r w:rsidRPr="007E0B95">
        <w:t xml:space="preserve"> med minst behov av att ändra sin situation har också lättast att göra det.</w:t>
      </w:r>
      <w:r w:rsidR="00685D6C" w:rsidRPr="007E0B95">
        <w:t xml:space="preserve"> </w:t>
      </w:r>
    </w:p>
    <w:p w:rsidR="00B02124" w:rsidRPr="00BC18AC" w:rsidRDefault="00977EE2" w:rsidP="00073A0B">
      <w:pPr>
        <w:pStyle w:val="Rubrik1"/>
        <w:rPr>
          <w:rFonts w:ascii="Arial" w:hAnsi="Arial" w:cs="Arial"/>
          <w:b/>
          <w:sz w:val="32"/>
        </w:rPr>
      </w:pPr>
      <w:bookmarkStart w:id="16" w:name="_Toc481738296"/>
      <w:r w:rsidRPr="00BC18AC">
        <w:rPr>
          <w:rFonts w:ascii="Arial" w:hAnsi="Arial" w:cs="Arial"/>
          <w:b/>
          <w:sz w:val="32"/>
        </w:rPr>
        <w:t>Slutsatser och rekommendationer</w:t>
      </w:r>
      <w:bookmarkEnd w:id="16"/>
    </w:p>
    <w:p w:rsidR="00AB4A5D" w:rsidRPr="007E0B95" w:rsidRDefault="007661BF" w:rsidP="00D02960">
      <w:r w:rsidRPr="007E0B95">
        <w:t xml:space="preserve">Det råder bostadsbrist för unga vuxna i nästan samtliga Storgöteborgs kommuner. Många unga vuxna tvingas på grund av detta till ofrivilligt hemmaboende. Siffrorna ökar i dagsläget från redan höga nivåer. </w:t>
      </w:r>
      <w:r w:rsidR="00AB4A5D" w:rsidRPr="007E0B95">
        <w:t>Av totalt 114 300 unga vuxna i storgöteborg så är 28 900 personer, eller 25,3</w:t>
      </w:r>
      <w:r w:rsidR="0000619A" w:rsidRPr="007E0B95">
        <w:t xml:space="preserve"> procent</w:t>
      </w:r>
      <w:r w:rsidR="00AB4A5D" w:rsidRPr="007E0B95">
        <w:t>, hemmaboende. Av dessa vill 24 100, eller 83,4</w:t>
      </w:r>
      <w:r w:rsidR="0000619A" w:rsidRPr="007E0B95">
        <w:t xml:space="preserve"> procent</w:t>
      </w:r>
      <w:r w:rsidR="00AB4A5D" w:rsidRPr="007E0B95">
        <w:t>, flytta hemifrån. De är alltså ofrivilligt hemmaboende unga vuxna.</w:t>
      </w:r>
    </w:p>
    <w:p w:rsidR="00E6077D" w:rsidRPr="007E0B95" w:rsidRDefault="007661BF" w:rsidP="00D02960">
      <w:r w:rsidRPr="007E0B95">
        <w:t>Hemmaboende är i sig en viktig indikator</w:t>
      </w:r>
      <w:r w:rsidR="00AB4A5D" w:rsidRPr="007E0B95">
        <w:t xml:space="preserve"> på utsatthet</w:t>
      </w:r>
      <w:r w:rsidRPr="007E0B95">
        <w:t xml:space="preserve">: den som bor hemma </w:t>
      </w:r>
      <w:r w:rsidR="00E6077D" w:rsidRPr="007E0B95">
        <w:t xml:space="preserve">får sämre </w:t>
      </w:r>
      <w:r w:rsidRPr="007E0B95">
        <w:t xml:space="preserve">möjligheter att agera </w:t>
      </w:r>
      <w:r w:rsidR="00E6077D" w:rsidRPr="007E0B95">
        <w:t xml:space="preserve">i </w:t>
      </w:r>
      <w:r w:rsidRPr="007E0B95">
        <w:t>samhället på samma sätt som andra vuxna</w:t>
      </w:r>
      <w:r w:rsidR="00E6077D" w:rsidRPr="007E0B95">
        <w:t>. Det rör sig bland annat om att det blir svårare att bilda familj och ta ett jobb där man vill. Att flytta hemifrån ger också större möjlighet till ett eget privatliv och att prova vingarna</w:t>
      </w:r>
      <w:r w:rsidRPr="007E0B95">
        <w:t xml:space="preserve">. </w:t>
      </w:r>
    </w:p>
    <w:p w:rsidR="007661BF" w:rsidRPr="007E0B95" w:rsidRDefault="007661BF" w:rsidP="00D02960">
      <w:r w:rsidRPr="007E0B95">
        <w:t>Så länge man bor i föräldrahemmet räknas man inte fullt ut som en vuxen. Det märks också när man tittar på andra utsatthetsindikatorer.</w:t>
      </w:r>
      <w:r w:rsidR="00A6592F" w:rsidRPr="007E0B95">
        <w:t xml:space="preserve"> Hemmaboende unga vuxna är i högre grad än dem som har eget boende arbetslösa och lever i ett slags tillstånd av uppskjuten vuxenhet, där man inte betalar hyra hemma </w:t>
      </w:r>
      <w:r w:rsidR="00E6077D" w:rsidRPr="007E0B95">
        <w:t xml:space="preserve">och </w:t>
      </w:r>
      <w:r w:rsidR="00A6592F" w:rsidRPr="007E0B95">
        <w:t>inte heller har en egen inkomst att förfoga över.</w:t>
      </w:r>
    </w:p>
    <w:p w:rsidR="00A6592F" w:rsidRPr="007E0B95" w:rsidRDefault="00A6592F" w:rsidP="00D02960">
      <w:r w:rsidRPr="007E0B95">
        <w:t>Även bland de</w:t>
      </w:r>
      <w:r w:rsidR="00860E69" w:rsidRPr="007E0B95">
        <w:t xml:space="preserve"> unga vuxna</w:t>
      </w:r>
      <w:r w:rsidRPr="007E0B95">
        <w:t xml:space="preserve"> som flyttat hemifrån är utsattheten betydande, </w:t>
      </w:r>
      <w:r w:rsidR="00860E69" w:rsidRPr="007E0B95">
        <w:t>även om utsattheten tar sig andra former</w:t>
      </w:r>
      <w:r w:rsidRPr="007E0B95">
        <w:t>. Här framträder det osäkra boendet och osäkra anställningsformer som de</w:t>
      </w:r>
      <w:r w:rsidR="00860E69" w:rsidRPr="007E0B95">
        <w:t>t</w:t>
      </w:r>
      <w:r w:rsidRPr="007E0B95">
        <w:t xml:space="preserve"> mest kritiska: många bor i tidsbegränsade boenden och vet </w:t>
      </w:r>
      <w:r w:rsidR="009A7619">
        <w:t xml:space="preserve">heller </w:t>
      </w:r>
      <w:r w:rsidRPr="007E0B95">
        <w:t>inte vilken inkomst de kommer ha nästa månad.</w:t>
      </w:r>
    </w:p>
    <w:p w:rsidR="00A2043D" w:rsidRPr="007E0B95" w:rsidRDefault="00A6592F" w:rsidP="00D02960">
      <w:pPr>
        <w:rPr>
          <w:rFonts w:cs="Times New Roman"/>
        </w:rPr>
      </w:pPr>
      <w:r w:rsidRPr="007E0B95">
        <w:t>Utsattheten bland unga vuxna är dock inte jämt fördelad. Det går att</w:t>
      </w:r>
      <w:r w:rsidR="00860E69" w:rsidRPr="007E0B95">
        <w:t xml:space="preserve"> se sambanden:</w:t>
      </w:r>
      <w:r w:rsidRPr="007E0B95">
        <w:t xml:space="preserve"> För personer som tillhör den utsatta gruppen – omkring 40</w:t>
      </w:r>
      <w:r w:rsidR="0000619A" w:rsidRPr="007E0B95">
        <w:t xml:space="preserve"> procent</w:t>
      </w:r>
      <w:r w:rsidRPr="007E0B95">
        <w:t xml:space="preserve"> av unga vuxna – ökar sannolikheten för samtliga utsat</w:t>
      </w:r>
      <w:r w:rsidR="00A2043D" w:rsidRPr="007E0B95">
        <w:t>t</w:t>
      </w:r>
      <w:r w:rsidRPr="007E0B95">
        <w:t>hetsindikatorer.</w:t>
      </w:r>
      <w:r w:rsidR="00A2043D" w:rsidRPr="007E0B95">
        <w:t xml:space="preserve"> Personer i denna grupp har alltså stor anledning att försöka påverka sin situation, </w:t>
      </w:r>
      <w:r w:rsidR="00860E69" w:rsidRPr="007E0B95">
        <w:t>som</w:t>
      </w:r>
      <w:r w:rsidR="00A2043D" w:rsidRPr="007E0B95">
        <w:t xml:space="preserve"> att flytta till annan ort för jobb eller studier. Det är emellertid också </w:t>
      </w:r>
      <w:r w:rsidR="00860E69" w:rsidRPr="007E0B95">
        <w:t>dessa personer</w:t>
      </w:r>
      <w:r w:rsidR="00A2043D" w:rsidRPr="007E0B95">
        <w:t xml:space="preserve"> som har minst möjligheter att ta till vara på sådana chanser</w:t>
      </w:r>
      <w:r w:rsidR="00860E69" w:rsidRPr="007E0B95">
        <w:t>.</w:t>
      </w:r>
      <w:r w:rsidR="00A2043D" w:rsidRPr="007E0B95">
        <w:t xml:space="preserve"> </w:t>
      </w:r>
      <w:r w:rsidR="007B38BC" w:rsidRPr="007E0B95">
        <w:t>D</w:t>
      </w:r>
      <w:r w:rsidR="00860E69" w:rsidRPr="007E0B95">
        <w:t>essa personer kan nämligen</w:t>
      </w:r>
      <w:r w:rsidR="00A2043D" w:rsidRPr="007E0B95">
        <w:t xml:space="preserve"> i mycket lägre utsträckning få ekonomiskt stöd av anhöriga och </w:t>
      </w:r>
      <w:r w:rsidR="00860E69" w:rsidRPr="007E0B95">
        <w:t>har oftare själva en</w:t>
      </w:r>
      <w:r w:rsidR="00A2043D" w:rsidRPr="007E0B95">
        <w:t xml:space="preserve"> ekonomisk</w:t>
      </w:r>
      <w:r w:rsidR="00860E69" w:rsidRPr="007E0B95">
        <w:t>t utsatt situation</w:t>
      </w:r>
      <w:r w:rsidR="00A2043D" w:rsidRPr="007E0B95">
        <w:t xml:space="preserve">. I genomsnitt har personer i den utsatta gruppen en inkomst som ligger under Konsumentverkets basnivå för normala kostnader. Effekten blir </w:t>
      </w:r>
      <w:r w:rsidR="00860E69" w:rsidRPr="007E0B95">
        <w:t xml:space="preserve">alltså </w:t>
      </w:r>
      <w:r w:rsidR="00A2043D" w:rsidRPr="007E0B95">
        <w:t xml:space="preserve">att de som har störst </w:t>
      </w:r>
      <w:r w:rsidR="007B38BC" w:rsidRPr="007E0B95">
        <w:t>anledning</w:t>
      </w:r>
      <w:r w:rsidR="00A2043D" w:rsidRPr="007E0B95">
        <w:t xml:space="preserve"> </w:t>
      </w:r>
      <w:r w:rsidR="00A2043D" w:rsidRPr="007E0B95">
        <w:rPr>
          <w:rFonts w:cs="Times New Roman"/>
        </w:rPr>
        <w:t xml:space="preserve">att försöka påverka sin situation också har minst möjlighet att göra det. </w:t>
      </w:r>
      <w:r w:rsidR="007B38BC" w:rsidRPr="007E0B95">
        <w:rPr>
          <w:rFonts w:cs="Times New Roman"/>
        </w:rPr>
        <w:t>De tvekar därför</w:t>
      </w:r>
      <w:r w:rsidR="00A2043D" w:rsidRPr="007E0B95">
        <w:rPr>
          <w:rFonts w:cs="Times New Roman"/>
        </w:rPr>
        <w:t xml:space="preserve"> inför att ta vara på </w:t>
      </w:r>
      <w:r w:rsidR="0020512C" w:rsidRPr="007E0B95">
        <w:rPr>
          <w:rFonts w:cs="Times New Roman"/>
        </w:rPr>
        <w:t>jobb</w:t>
      </w:r>
      <w:r w:rsidR="007B38BC" w:rsidRPr="007E0B95">
        <w:rPr>
          <w:rFonts w:cs="Times New Roman"/>
        </w:rPr>
        <w:t xml:space="preserve">- eller studiemöjligheter </w:t>
      </w:r>
      <w:r w:rsidR="00A2043D" w:rsidRPr="007E0B95">
        <w:rPr>
          <w:rFonts w:cs="Times New Roman"/>
        </w:rPr>
        <w:t xml:space="preserve">och </w:t>
      </w:r>
      <w:r w:rsidR="007B38BC" w:rsidRPr="007E0B95">
        <w:rPr>
          <w:rFonts w:cs="Times New Roman"/>
        </w:rPr>
        <w:t xml:space="preserve">för </w:t>
      </w:r>
      <w:r w:rsidR="00A2043D" w:rsidRPr="007E0B95">
        <w:rPr>
          <w:rFonts w:cs="Times New Roman"/>
        </w:rPr>
        <w:t>att bilda familj.</w:t>
      </w:r>
      <w:r w:rsidR="0020512C" w:rsidRPr="007E0B95">
        <w:rPr>
          <w:rFonts w:cs="Times New Roman"/>
        </w:rPr>
        <w:t xml:space="preserve"> För samhällets del innebär det att </w:t>
      </w:r>
      <w:r w:rsidR="000F7C2D" w:rsidRPr="007E0B95">
        <w:rPr>
          <w:rFonts w:cs="Times New Roman"/>
        </w:rPr>
        <w:t>många</w:t>
      </w:r>
      <w:r w:rsidR="0020512C" w:rsidRPr="007E0B95">
        <w:rPr>
          <w:rFonts w:cs="Times New Roman"/>
        </w:rPr>
        <w:t xml:space="preserve"> </w:t>
      </w:r>
      <w:r w:rsidR="00A2043D" w:rsidRPr="007E0B95">
        <w:rPr>
          <w:rFonts w:cs="Times New Roman"/>
        </w:rPr>
        <w:t>unga vuxnas drivkraft och talang inte kommer till sin rätt där den bäst behövs.</w:t>
      </w:r>
      <w:r w:rsidR="00860E69" w:rsidRPr="007E0B95">
        <w:rPr>
          <w:rFonts w:cs="Times New Roman"/>
        </w:rPr>
        <w:t xml:space="preserve"> </w:t>
      </w:r>
    </w:p>
    <w:p w:rsidR="00A2043D" w:rsidRPr="00BC18AC" w:rsidRDefault="008B44FE" w:rsidP="00D02960">
      <w:pPr>
        <w:pStyle w:val="Rubrik2"/>
        <w:rPr>
          <w:rFonts w:ascii="Arial" w:hAnsi="Arial" w:cs="Arial"/>
          <w:b/>
        </w:rPr>
      </w:pPr>
      <w:bookmarkStart w:id="17" w:name="_Toc481738297"/>
      <w:r w:rsidRPr="00BC18AC">
        <w:rPr>
          <w:rFonts w:ascii="Arial" w:hAnsi="Arial" w:cs="Arial"/>
          <w:b/>
        </w:rPr>
        <w:t>Allas rätt till ett vuxenliv</w:t>
      </w:r>
      <w:r w:rsidR="00B14466" w:rsidRPr="00BC18AC">
        <w:rPr>
          <w:rFonts w:ascii="Arial" w:hAnsi="Arial" w:cs="Arial"/>
          <w:b/>
        </w:rPr>
        <w:t xml:space="preserve"> – ett bostadspolitiskt uppdrag!</w:t>
      </w:r>
      <w:bookmarkEnd w:id="17"/>
    </w:p>
    <w:p w:rsidR="00F70B7A" w:rsidRPr="007E0B95" w:rsidRDefault="00F70B7A" w:rsidP="00F70B7A">
      <w:pPr>
        <w:rPr>
          <w:rFonts w:cs="Times New Roman"/>
        </w:rPr>
      </w:pPr>
      <w:r w:rsidRPr="007E0B95">
        <w:rPr>
          <w:rFonts w:cs="Times New Roman"/>
        </w:rPr>
        <w:t xml:space="preserve">Alla har rätt till ett bra hem. Det handlar om trygghet, men också om självständighet och frihet. Med egna hem, där vi kan bestämma själva och utvecklas, får vi en större tro på oss själva. Dessutom blir det enklare att flytta dit jobben och utbildningarna finns. </w:t>
      </w:r>
    </w:p>
    <w:p w:rsidR="00E46AEE" w:rsidRPr="007E0B95" w:rsidRDefault="00A2043D" w:rsidP="00F70B7A">
      <w:r w:rsidRPr="007E0B95">
        <w:rPr>
          <w:rFonts w:cs="Times New Roman"/>
        </w:rPr>
        <w:t xml:space="preserve">Bostadspolitiken kan inte lösa alla samhällets </w:t>
      </w:r>
      <w:r w:rsidR="0020512C" w:rsidRPr="007E0B95">
        <w:rPr>
          <w:rFonts w:cs="Times New Roman"/>
        </w:rPr>
        <w:t>utmaningar</w:t>
      </w:r>
      <w:r w:rsidRPr="007E0B95">
        <w:rPr>
          <w:rFonts w:cs="Times New Roman"/>
        </w:rPr>
        <w:t xml:space="preserve">. En rimlig bostadspolitisk ambition är </w:t>
      </w:r>
      <w:r w:rsidR="007B38BC" w:rsidRPr="007E0B95">
        <w:rPr>
          <w:rFonts w:cs="Times New Roman"/>
        </w:rPr>
        <w:t xml:space="preserve">dock </w:t>
      </w:r>
      <w:r w:rsidRPr="007E0B95">
        <w:rPr>
          <w:rFonts w:cs="Times New Roman"/>
        </w:rPr>
        <w:t xml:space="preserve">att rådande </w:t>
      </w:r>
      <w:r w:rsidR="000F7C2D" w:rsidRPr="007E0B95">
        <w:rPr>
          <w:rFonts w:cs="Times New Roman"/>
        </w:rPr>
        <w:t>ojämlikheter</w:t>
      </w:r>
      <w:r w:rsidR="0020512C" w:rsidRPr="007E0B95">
        <w:rPr>
          <w:rFonts w:cs="Times New Roman"/>
        </w:rPr>
        <w:t xml:space="preserve"> </w:t>
      </w:r>
      <w:r w:rsidRPr="007E0B95">
        <w:rPr>
          <w:rFonts w:cs="Times New Roman"/>
        </w:rPr>
        <w:t>inte ytterligare ska förstärkas av hur bo</w:t>
      </w:r>
      <w:r w:rsidR="00E46AEE" w:rsidRPr="007E0B95">
        <w:rPr>
          <w:rFonts w:cs="Times New Roman"/>
        </w:rPr>
        <w:t>stadsmarknaden</w:t>
      </w:r>
      <w:r w:rsidR="00E46AEE" w:rsidRPr="007E0B95">
        <w:t xml:space="preserve"> är strukturerad. </w:t>
      </w:r>
      <w:r w:rsidR="007B38BC" w:rsidRPr="007E0B95">
        <w:lastRenderedPageBreak/>
        <w:t>Precis så fungerar emellertid bostadsmarknaden idag: de som mäter störst svårigheter och som är som mest utsatta, har också svårast att ändra på sin situation.</w:t>
      </w:r>
    </w:p>
    <w:p w:rsidR="009862DB" w:rsidRPr="007E0B95" w:rsidRDefault="0020512C">
      <w:r w:rsidRPr="007E0B95">
        <w:t xml:space="preserve">Utmaningarna </w:t>
      </w:r>
      <w:r w:rsidR="00A2043D" w:rsidRPr="007E0B95">
        <w:t>och lösningarna</w:t>
      </w:r>
      <w:r w:rsidRPr="007E0B95">
        <w:t xml:space="preserve"> på bostadsmarknaden</w:t>
      </w:r>
      <w:r w:rsidR="00A2043D" w:rsidRPr="007E0B95">
        <w:t xml:space="preserve"> är i</w:t>
      </w:r>
      <w:r w:rsidR="00E46AEE" w:rsidRPr="007E0B95">
        <w:t xml:space="preserve"> stort sett redan identifierade: det grundläggande problemet är ett generellt underskott på bostäder till rimliga </w:t>
      </w:r>
      <w:r w:rsidRPr="007E0B95">
        <w:t>kostnader</w:t>
      </w:r>
      <w:r w:rsidR="00E46AEE" w:rsidRPr="007E0B95">
        <w:t xml:space="preserve">. Lösningen </w:t>
      </w:r>
      <w:r w:rsidRPr="007E0B95">
        <w:t xml:space="preserve">måste därför vara </w:t>
      </w:r>
      <w:r w:rsidR="00E46AEE" w:rsidRPr="007E0B95">
        <w:t>en generell satsning på att öka bostadsbeståndet</w:t>
      </w:r>
      <w:r w:rsidRPr="007E0B95">
        <w:t xml:space="preserve">. En sådan satsning bör </w:t>
      </w:r>
      <w:r w:rsidR="000F7C2D" w:rsidRPr="007E0B95">
        <w:t>inkludera en satsning på ett</w:t>
      </w:r>
      <w:r w:rsidRPr="007E0B95">
        <w:t xml:space="preserve"> varierat utbud av bostäder till rimliga kostnader, i olika upplåtelseformer och av varierad storlek. </w:t>
      </w:r>
      <w:r w:rsidR="00F70B7A" w:rsidRPr="007E0B95">
        <w:t>För att klara detta krävs en medveten satsning också på hyresrätten</w:t>
      </w:r>
      <w:r w:rsidR="00E46AEE" w:rsidRPr="007E0B95">
        <w:t xml:space="preserve">. Hyresrätten är och förblir det viktigaste verktyget för unga att ta sig hemifrån och påbörja sitt verkliga vuxenliv. </w:t>
      </w:r>
      <w:r w:rsidR="007B38BC" w:rsidRPr="007E0B95">
        <w:t>Vi vet också att det bland unga finns ett överväldigande stöd för uppfattningen att det är samhällets ansvar att garantera tillgången till bostäder för alla (Ungdomsbarometern, 2017).</w:t>
      </w:r>
    </w:p>
    <w:p w:rsidR="007B38BC" w:rsidRPr="007E0B95" w:rsidRDefault="007B38BC">
      <w:r w:rsidRPr="007E0B95">
        <w:t>Bostadspolitiken</w:t>
      </w:r>
      <w:r w:rsidR="009862DB" w:rsidRPr="007E0B95">
        <w:t>, från beslutfattares perspektiv på statlig och kommunal nivå,</w:t>
      </w:r>
      <w:r w:rsidRPr="007E0B95">
        <w:t xml:space="preserve"> rymmer därför inte bara utmaningar och problem utan också stor politisk potential.</w:t>
      </w:r>
      <w:r w:rsidR="009862DB" w:rsidRPr="007E0B95">
        <w:t xml:space="preserve"> Det finns ett tydligt bostadspolitiskt uppdrag som har ett stort folkligt stöd: </w:t>
      </w:r>
      <w:r w:rsidR="00F70B7A" w:rsidRPr="007E0B95">
        <w:t xml:space="preserve">Sverige behöver fler hyreslägenheter som breda grupper </w:t>
      </w:r>
      <w:r w:rsidRPr="007E0B95">
        <w:t xml:space="preserve">av unga vuxna </w:t>
      </w:r>
      <w:r w:rsidR="00F70B7A" w:rsidRPr="007E0B95">
        <w:t>har råd att hyra.</w:t>
      </w:r>
    </w:p>
    <w:p w:rsidR="007B38BC" w:rsidRPr="007E0B95" w:rsidRDefault="007B38BC" w:rsidP="00F70B7A"/>
    <w:p w:rsidR="00916991" w:rsidRPr="00BC18AC" w:rsidRDefault="00916991" w:rsidP="00D02960">
      <w:pPr>
        <w:pStyle w:val="Rubrik1"/>
        <w:rPr>
          <w:rFonts w:ascii="Arial" w:hAnsi="Arial" w:cs="Arial"/>
          <w:b/>
          <w:sz w:val="32"/>
        </w:rPr>
      </w:pPr>
      <w:bookmarkStart w:id="18" w:name="_Toc481738298"/>
      <w:r w:rsidRPr="00BC18AC">
        <w:rPr>
          <w:rFonts w:ascii="Arial" w:hAnsi="Arial" w:cs="Arial"/>
          <w:b/>
          <w:sz w:val="32"/>
        </w:rPr>
        <w:t>Referenser</w:t>
      </w:r>
      <w:bookmarkEnd w:id="18"/>
    </w:p>
    <w:p w:rsidR="00B14466" w:rsidRPr="0005552D" w:rsidRDefault="00B14466" w:rsidP="000F36A0">
      <w:pPr>
        <w:jc w:val="left"/>
        <w:rPr>
          <w:lang w:val="en-US"/>
        </w:rPr>
      </w:pPr>
      <w:r w:rsidRPr="007E0B95">
        <w:t xml:space="preserve">Boverket. (2014). Boverkets bostadsmarknadsenkät. Boverket. </w:t>
      </w:r>
      <w:r w:rsidRPr="0005552D">
        <w:rPr>
          <w:lang w:val="en-US"/>
        </w:rPr>
        <w:t>Retrieved from http://www.boverket.se/sv/om-boverket/publicerat-av-boverket/oppna-data/</w:t>
      </w:r>
    </w:p>
    <w:p w:rsidR="00B14466" w:rsidRPr="007E0B95" w:rsidRDefault="00B14466" w:rsidP="000F36A0">
      <w:pPr>
        <w:jc w:val="left"/>
      </w:pPr>
      <w:r w:rsidRPr="007E0B95">
        <w:t>Boverket. (2015). Boverkets bostadsmarknadsenkät. Boverket. Retrieved from http://www.boverket.se/sv/om-boverket/publicerat-av-boverket/oppna-data/</w:t>
      </w:r>
    </w:p>
    <w:p w:rsidR="00B14466" w:rsidRPr="007E0B95" w:rsidRDefault="00B14466" w:rsidP="000F36A0">
      <w:pPr>
        <w:jc w:val="left"/>
      </w:pPr>
      <w:r w:rsidRPr="007E0B95">
        <w:t>Boverket. (2016). Boverkets bostadsmarknadsenkät. Boverket. Retrieved from http://www.boverket.se/sv/om-boverket/publicerat-av-boverket/oppna-data/</w:t>
      </w:r>
    </w:p>
    <w:p w:rsidR="00B14466" w:rsidRPr="007E0B95" w:rsidRDefault="00B14466" w:rsidP="000F36A0">
      <w:pPr>
        <w:jc w:val="left"/>
      </w:pPr>
      <w:r w:rsidRPr="007E0B95">
        <w:t>Elmgren, E., Björkvald, M., &amp; Svanberg, P. (2017). Nyproduktion och renoveringar av hyresrätter - en för lönsam affär? Hyresgästföreningen.</w:t>
      </w:r>
    </w:p>
    <w:p w:rsidR="00B14466" w:rsidRPr="007E0B95" w:rsidRDefault="00B14466" w:rsidP="000F36A0">
      <w:pPr>
        <w:jc w:val="left"/>
      </w:pPr>
      <w:r w:rsidRPr="007E0B95">
        <w:t>Konsumentverket. (2017). Koll på pengarna. Konsumentverket.</w:t>
      </w:r>
    </w:p>
    <w:p w:rsidR="00B14466" w:rsidRPr="007E0B95" w:rsidRDefault="00B14466" w:rsidP="000F36A0">
      <w:pPr>
        <w:jc w:val="left"/>
      </w:pPr>
      <w:r w:rsidRPr="007E0B95">
        <w:t>Kronofogdemyndigheten. (2017). Förbehållsbelopp/Normalbelopp. Retrieved from https://www.kronofogden.se/Hurmycketfardubehalla.html</w:t>
      </w:r>
    </w:p>
    <w:p w:rsidR="00B14466" w:rsidRPr="007E0B95" w:rsidRDefault="00B14466" w:rsidP="000F36A0">
      <w:pPr>
        <w:jc w:val="left"/>
      </w:pPr>
      <w:r w:rsidRPr="007E0B95">
        <w:t>SCB. (2004). Frågebank över bakgrundsfrågor i postenkätundersökningar. Statistiska centralbyrån, SCB.</w:t>
      </w:r>
    </w:p>
    <w:p w:rsidR="00B14466" w:rsidRPr="007E0B95" w:rsidRDefault="00B14466" w:rsidP="000F36A0">
      <w:pPr>
        <w:jc w:val="left"/>
      </w:pPr>
      <w:r w:rsidRPr="007E0B95">
        <w:t>SCB. (2015). Boendevariabler efter kommun. År 1998 - 2015. Statistiska centralbyrån, SCB. Retrieved from http://www.statistikdatabasen.scb.se</w:t>
      </w:r>
    </w:p>
    <w:p w:rsidR="00B14466" w:rsidRPr="0005552D" w:rsidRDefault="00B14466" w:rsidP="000F36A0">
      <w:pPr>
        <w:jc w:val="left"/>
        <w:rPr>
          <w:lang w:val="en-US"/>
        </w:rPr>
      </w:pPr>
      <w:r w:rsidRPr="007E0B95">
        <w:t xml:space="preserve">Socialstyrelsen. (2017). Ekonomiskt bistånd. </w:t>
      </w:r>
      <w:r w:rsidRPr="0005552D">
        <w:rPr>
          <w:lang w:val="en-US"/>
        </w:rPr>
        <w:t>Retrieved from http://www.socialstyrelsen.se/hittarattmyndighet/ekonomisktbistand/provberakning</w:t>
      </w:r>
    </w:p>
    <w:p w:rsidR="005776EB" w:rsidRPr="007E0B95" w:rsidRDefault="00B14466" w:rsidP="000F36A0">
      <w:pPr>
        <w:jc w:val="left"/>
      </w:pPr>
      <w:r w:rsidRPr="0005552D">
        <w:rPr>
          <w:lang w:val="en-US"/>
        </w:rPr>
        <w:t xml:space="preserve">Vermunt, J. K. (2010). Latent class modeling with covariates: Two improved three-step approaches. </w:t>
      </w:r>
      <w:r w:rsidRPr="007E0B95">
        <w:t>Political Analysis, (18), 450–469.</w:t>
      </w:r>
      <w:r w:rsidRPr="007E0B95" w:rsidDel="00B14466">
        <w:t xml:space="preserve"> </w:t>
      </w:r>
    </w:p>
    <w:sectPr w:rsidR="005776EB" w:rsidRPr="007E0B95" w:rsidSect="00A5575C">
      <w:headerReference w:type="default" r:id="rId20"/>
      <w:headerReference w:type="firs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C18" w:rsidRDefault="00247C18" w:rsidP="003769D6">
      <w:r>
        <w:separator/>
      </w:r>
    </w:p>
  </w:endnote>
  <w:endnote w:type="continuationSeparator" w:id="0">
    <w:p w:rsidR="00247C18" w:rsidRDefault="00247C18" w:rsidP="00073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GaramondPro-Regular">
    <w:altName w:val="Times New Roman"/>
    <w:panose1 w:val="02020502060506020403"/>
    <w:charset w:val="00"/>
    <w:family w:val="auto"/>
    <w:pitch w:val="variable"/>
    <w:sig w:usb0="00000007" w:usb1="00000001" w:usb2="00000000" w:usb3="00000000" w:csb0="00000093" w:csb1="00000000"/>
  </w:font>
  <w:font w:name="AkzidenzGroteskBE-Regular">
    <w:charset w:val="00"/>
    <w:family w:val="auto"/>
    <w:pitch w:val="variable"/>
    <w:sig w:usb0="00000003" w:usb1="00000000" w:usb2="00000000" w:usb3="00000000" w:csb0="00000001" w:csb1="00000000"/>
  </w:font>
  <w:font w:name="Akzidenz-Grotesk (R)">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52D" w:rsidRDefault="0005552D" w:rsidP="0005552D">
    <w:pPr>
      <w:pStyle w:val="Sidfot"/>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C18" w:rsidRDefault="00247C18" w:rsidP="00C136C0">
      <w:r>
        <w:separator/>
      </w:r>
    </w:p>
  </w:footnote>
  <w:footnote w:type="continuationSeparator" w:id="0">
    <w:p w:rsidR="00247C18" w:rsidRDefault="00247C18" w:rsidP="00C136C0">
      <w:r>
        <w:continuationSeparator/>
      </w:r>
    </w:p>
  </w:footnote>
  <w:footnote w:id="1">
    <w:p w:rsidR="0005552D" w:rsidRPr="00D02960" w:rsidRDefault="0005552D" w:rsidP="003769D6">
      <w:pPr>
        <w:pStyle w:val="Fotnotstext"/>
        <w:rPr>
          <w:lang w:val="sv-SE"/>
        </w:rPr>
      </w:pPr>
      <w:r w:rsidRPr="00D02960">
        <w:rPr>
          <w:rStyle w:val="Fotnotsreferens"/>
        </w:rPr>
        <w:footnoteRef/>
      </w:r>
      <w:r w:rsidRPr="00D02960">
        <w:rPr>
          <w:lang w:val="sv-SE"/>
        </w:rPr>
        <w:t xml:space="preserve"> Hyresgästföreningens och SCBs uppskattningar av andelen hemmaboende unga vuxna skiljer sig åt, och SCB ligger i allmänhet högre</w:t>
      </w:r>
      <w:r>
        <w:rPr>
          <w:lang w:val="sv-SE"/>
        </w:rPr>
        <w:t xml:space="preserve"> </w:t>
      </w:r>
      <w:r>
        <w:rPr>
          <w:lang w:val="sv-SE"/>
        </w:rPr>
        <w:fldChar w:fldCharType="begin"/>
      </w:r>
      <w:r>
        <w:rPr>
          <w:lang w:val="sv-SE"/>
        </w:rPr>
        <w:instrText xml:space="preserve"> ADDIN ZOTERO_ITEM CSL_CITATION {"citationID":"OsJBlaog","properties":{"formattedCitation":"(SCB, 2015)","plainCitation":"(SCB, 2015)"},"citationItems":[{"id":1258,"uris":["http://zotero.org/users/3218498/items/QSZUVMMC"],"uri":["http://zotero.org/users/3218498/items/QSZUVMMC"],"itemData":{"id":1258,"type":"article","title":"Boendevariabler efter kommun. År 1998 - 2015","publisher":"Statistiska centralbyrån, SCB","URL":"http://www.statistikdatabasen.scb.se","author":[{"family":"SCB","given":""}],"issued":{"date-parts":[["2015"]]},"accessed":{"date-parts":[["2017",5,2]]}}}],"schema":"https://github.com/citation-style-language/schema/raw/master/csl-citation.json"} </w:instrText>
      </w:r>
      <w:r>
        <w:rPr>
          <w:lang w:val="sv-SE"/>
        </w:rPr>
        <w:fldChar w:fldCharType="separate"/>
      </w:r>
      <w:r w:rsidRPr="00D02960">
        <w:rPr>
          <w:rFonts w:ascii="Calibri" w:hAnsi="Calibri" w:cs="Calibri"/>
          <w:lang w:val="sv-SE"/>
        </w:rPr>
        <w:t>(SCB, 2015)</w:t>
      </w:r>
      <w:r>
        <w:rPr>
          <w:lang w:val="sv-SE"/>
        </w:rPr>
        <w:fldChar w:fldCharType="end"/>
      </w:r>
      <w:r w:rsidRPr="00D02960">
        <w:rPr>
          <w:lang w:val="sv-SE"/>
        </w:rPr>
        <w:t>. SCB använder sig av registerdata som har hög reliabilitet och hög täckning. Validiteten kan dock ifrågasättas: SCBs beräkningar bygger helt på hur stor andel av unga som är skrivna på samma adress som minst en förälder. Det är troligt att en del av dessa unga vuxna dock inte bor hemma. Ytterligare en anledning till att SCBs siffror är högre är att deras åldersspann endast omfattar unga vuxna i åldrarna 20-24 år (att jämföra med Hyresgästföreningens åldersspann på 20-27); hemmaboendet är mer utbrett i lägre åldrar varför SCBs framräknade andelar också blir högre. Hyresgästföreningens beräkningar bygger på enkätundersökningar som har lägre reliabilitet men i det här fallet högre validitet; uppgifterna har inte samma säkerhet eller täckning, men enkätverktygets direkta fråga om hemmaboende är mer relevant än folkbokföringsuppgifter och motsvarar därför bättre det verkliga hemmaboendet. Hyresgästföreningens uppgifter är också av nyare datum. I jämförbara fall ligger det verkliga värdet förmodligen någonstans mellan SCBs och Hyresgästföreningens uppskattningar.</w:t>
      </w:r>
    </w:p>
  </w:footnote>
  <w:footnote w:id="2">
    <w:p w:rsidR="0005552D" w:rsidRPr="00D02960" w:rsidRDefault="0005552D" w:rsidP="00C136C0">
      <w:pPr>
        <w:pStyle w:val="Fotnotstext"/>
        <w:rPr>
          <w:lang w:val="sv-SE"/>
        </w:rPr>
      </w:pPr>
      <w:r w:rsidRPr="00D02960">
        <w:rPr>
          <w:rStyle w:val="Fotnotsreferens"/>
        </w:rPr>
        <w:footnoteRef/>
      </w:r>
      <w:r w:rsidRPr="00D02960">
        <w:rPr>
          <w:lang w:val="sv-SE"/>
        </w:rPr>
        <w:t xml:space="preserve"> Det är erkänt omständligt att mäta upplåtelse- och boendeformer</w:t>
      </w:r>
      <w:r>
        <w:rPr>
          <w:lang w:val="sv-SE"/>
        </w:rPr>
        <w:t xml:space="preserve"> </w:t>
      </w:r>
      <w:r>
        <w:rPr>
          <w:lang w:val="sv-SE"/>
        </w:rPr>
        <w:fldChar w:fldCharType="begin"/>
      </w:r>
      <w:r>
        <w:rPr>
          <w:lang w:val="sv-SE"/>
        </w:rPr>
        <w:instrText xml:space="preserve"> ADDIN ZOTERO_ITEM CSL_CITATION {"citationID":"2f3e4ubp32","properties":{"formattedCitation":"(SCB, 2004)","plainCitation":"(SCB, 2004)"},"citationItems":[{"id":1263,"uris":["http://zotero.org/users/3218498/items/XC4GVF4D"],"uri":["http://zotero.org/users/3218498/items/XC4GVF4D"],"itemData":{"id":1263,"type":"article","title":"Frågebank över bakgrundsfrågor i postenkätundersökningar","publisher":"Statistiska centralbyrån, SCB","author":[{"family":"SCB","given":""}],"issued":{"date-parts":[["2004"]]}}}],"schema":"https://github.com/citation-style-language/schema/raw/master/csl-citation.json"} </w:instrText>
      </w:r>
      <w:r>
        <w:rPr>
          <w:lang w:val="sv-SE"/>
        </w:rPr>
        <w:fldChar w:fldCharType="separate"/>
      </w:r>
      <w:r w:rsidRPr="00D02960">
        <w:rPr>
          <w:rFonts w:ascii="Calibri" w:hAnsi="Calibri" w:cs="Calibri"/>
          <w:lang w:val="sv-SE"/>
        </w:rPr>
        <w:t>(SCB, 2004)</w:t>
      </w:r>
      <w:r>
        <w:rPr>
          <w:lang w:val="sv-SE"/>
        </w:rPr>
        <w:fldChar w:fldCharType="end"/>
      </w:r>
      <w:r>
        <w:rPr>
          <w:lang w:val="sv-SE"/>
        </w:rPr>
        <w:t xml:space="preserve">. </w:t>
      </w:r>
      <w:r w:rsidRPr="00D02960">
        <w:rPr>
          <w:lang w:val="sv-SE"/>
        </w:rPr>
        <w:t xml:space="preserve">Dels är det för dem som svarar svårt att skilja på boendeform (lägenhet/hus, etcetera) och upplåtelseform (hyra/äga, etcetera), därför att dessa klasser överlappar varandra och ofta starkt förknippas med varandra. Dels bidrar blandformer ytterligare till förvirringen därför att man exempelvis kan hyra någon annans ägda boende. De här redovisade kategorierna är ömsesidigt uteslutande och vi har utgått från huvudtyperna: hyresrätt, bostadsrätt, eget hus (egna hem), och studentbostad. I dessa kategorier ingår </w:t>
      </w:r>
      <w:r w:rsidRPr="00D02960">
        <w:rPr>
          <w:i/>
          <w:lang w:val="sv-SE"/>
        </w:rPr>
        <w:t>inte</w:t>
      </w:r>
      <w:r w:rsidRPr="00D02960">
        <w:rPr>
          <w:lang w:val="sv-SE"/>
        </w:rPr>
        <w:t xml:space="preserve"> dem som hyr in sig i dessa boendeformer i andra hand. De som exempelvis är inneboende kan alltså bo i många olika typer av boenden (hus eller lägenhet, etcetera), men listas här som endast inneboende. I gruppen ”Annat” ingår framförallt det man med en skönskrivning kan kalla för kreativa lösningar: boende i campingstugor och husvagnar till exempel.</w:t>
      </w:r>
    </w:p>
  </w:footnote>
  <w:footnote w:id="3">
    <w:p w:rsidR="0005552D" w:rsidRPr="00D02960" w:rsidRDefault="0005552D" w:rsidP="00C136C0">
      <w:pPr>
        <w:pStyle w:val="Fotnotstext"/>
        <w:rPr>
          <w:lang w:val="sv-SE"/>
        </w:rPr>
      </w:pPr>
      <w:r w:rsidRPr="00D02960">
        <w:rPr>
          <w:rStyle w:val="Fotnotsreferens"/>
        </w:rPr>
        <w:footnoteRef/>
      </w:r>
      <w:r w:rsidRPr="00D02960">
        <w:rPr>
          <w:lang w:val="sv-SE"/>
        </w:rPr>
        <w:t xml:space="preserve"> Vi har utgått från kostnader för ensamhushåll i storstäder för en person som lagar all mat själv, även luncher på vardagar. </w:t>
      </w:r>
    </w:p>
  </w:footnote>
  <w:footnote w:id="4">
    <w:p w:rsidR="0005552D" w:rsidRPr="00D02960" w:rsidRDefault="0005552D" w:rsidP="003769D6">
      <w:pPr>
        <w:pStyle w:val="Fotnotstext"/>
        <w:rPr>
          <w:lang w:val="sv-SE"/>
        </w:rPr>
      </w:pPr>
      <w:r w:rsidRPr="00D02960">
        <w:rPr>
          <w:rStyle w:val="Fotnotsreferens"/>
        </w:rPr>
        <w:footnoteRef/>
      </w:r>
      <w:r w:rsidRPr="00323E47">
        <w:rPr>
          <w:rStyle w:val="Fotnotsreferens"/>
          <w:rFonts w:ascii="Times New Roman" w:hAnsi="Times New Roman" w:cs="Times New Roman"/>
          <w:lang w:val="sv-SE"/>
        </w:rPr>
        <w:t xml:space="preserve"> </w:t>
      </w:r>
      <w:r w:rsidRPr="00D02960">
        <w:rPr>
          <w:lang w:val="sv-SE"/>
        </w:rPr>
        <w:t>Modellen producerar marginella posteriori</w:t>
      </w:r>
      <w:r>
        <w:rPr>
          <w:lang w:val="sv-SE"/>
        </w:rPr>
        <w:t>-</w:t>
      </w:r>
      <w:r w:rsidRPr="00D02960">
        <w:rPr>
          <w:lang w:val="sv-SE"/>
        </w:rPr>
        <w:t>sannolikheter för att olika indikatorer ska föreligga för medlemmar i de olika grupperna för variabler på nominalskalenivå. I figuren visas den relativa sannolikheten att en indikator på nominalskalenivå ska föreligga för en person i en specifik grupp, jämfört med en genomsnittsperson för all tre grupperna. För variabler på ordinal- och kvantitativ skala produceras modellerade regressionsmedelvärden. I dessa fall visar figuren den sannolika procentuella nivåskillnaden för den aktuella indikatorn för en person i en viss grupp i förhållande till medelnivån för en genomsnittsperson för all tre grupperna.</w:t>
      </w:r>
    </w:p>
  </w:footnote>
  <w:footnote w:id="5">
    <w:p w:rsidR="0005552D" w:rsidRPr="00D02960" w:rsidRDefault="0005552D" w:rsidP="003769D6">
      <w:pPr>
        <w:pStyle w:val="Fotnotstext"/>
        <w:rPr>
          <w:lang w:val="sv-SE"/>
        </w:rPr>
      </w:pPr>
      <w:r w:rsidRPr="00D02960">
        <w:rPr>
          <w:rStyle w:val="Fotnotsreferens"/>
        </w:rPr>
        <w:footnoteRef/>
      </w:r>
      <w:r w:rsidRPr="00EE34B3">
        <w:rPr>
          <w:rStyle w:val="Fotnotsreferens"/>
          <w:rFonts w:ascii="Times New Roman" w:hAnsi="Times New Roman"/>
          <w:lang w:val="sv-SE"/>
        </w:rPr>
        <w:t xml:space="preserve"> </w:t>
      </w:r>
      <w:r w:rsidRPr="00D02960">
        <w:rPr>
          <w:lang w:val="sv-SE"/>
        </w:rPr>
        <w:t>I figur 9 visas de indikatorer som ger signal i modellen. Vissa indikatorer har tagits bort från figuren för att underlätta framställningen, det rör då binära variabler där alternativen har speglande positiva och negativa relativa sannolikheter. Ett exempel är ”Kan ej få borgenär” (inkluderad i figuren) som speglas av ”Kan får borgenär” (som utelämnats).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91018"/>
      <w:docPartObj>
        <w:docPartGallery w:val="Page Numbers (Top of Page)"/>
        <w:docPartUnique/>
      </w:docPartObj>
    </w:sdtPr>
    <w:sdtEndPr>
      <w:rPr>
        <w:noProof/>
      </w:rPr>
    </w:sdtEndPr>
    <w:sdtContent>
      <w:p w:rsidR="0005552D" w:rsidRDefault="0005552D" w:rsidP="00D02960">
        <w:pPr>
          <w:pStyle w:val="Sidhuvud"/>
        </w:pPr>
        <w:r>
          <w:fldChar w:fldCharType="begin"/>
        </w:r>
        <w:r>
          <w:instrText xml:space="preserve"> PAGE   \* MERGEFORMAT </w:instrText>
        </w:r>
        <w:r>
          <w:fldChar w:fldCharType="separate"/>
        </w:r>
        <w:r w:rsidR="00C3799A">
          <w:rPr>
            <w:noProof/>
          </w:rPr>
          <w:t>10</w:t>
        </w:r>
        <w:r>
          <w:rPr>
            <w:noProof/>
          </w:rPr>
          <w:fldChar w:fldCharType="end"/>
        </w:r>
      </w:p>
    </w:sdtContent>
  </w:sdt>
  <w:p w:rsidR="0005552D" w:rsidRDefault="0005552D">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52D" w:rsidRDefault="0005552D" w:rsidP="001879C1">
    <w:pPr>
      <w:pStyle w:val="Sidhuvud"/>
    </w:pPr>
    <w:r>
      <w:rPr>
        <w:noProof/>
        <w:lang w:eastAsia="sv-SE"/>
      </w:rPr>
      <w:drawing>
        <wp:anchor distT="0" distB="0" distL="114300" distR="114300" simplePos="0" relativeHeight="251659264" behindDoc="0" locked="0" layoutInCell="1" allowOverlap="1" wp14:anchorId="10C68639" wp14:editId="2B18056F">
          <wp:simplePos x="0" y="0"/>
          <wp:positionH relativeFrom="column">
            <wp:posOffset>-461645</wp:posOffset>
          </wp:positionH>
          <wp:positionV relativeFrom="paragraph">
            <wp:posOffset>-182880</wp:posOffset>
          </wp:positionV>
          <wp:extent cx="2305050" cy="328469"/>
          <wp:effectExtent l="0" t="0" r="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rad stor röd.jpg"/>
                  <pic:cNvPicPr/>
                </pic:nvPicPr>
                <pic:blipFill>
                  <a:blip r:embed="rId1">
                    <a:extLst>
                      <a:ext uri="{28A0092B-C50C-407E-A947-70E740481C1C}">
                        <a14:useLocalDpi xmlns:a14="http://schemas.microsoft.com/office/drawing/2010/main" val="0"/>
                      </a:ext>
                    </a:extLst>
                  </a:blip>
                  <a:stretch>
                    <a:fillRect/>
                  </a:stretch>
                </pic:blipFill>
                <pic:spPr>
                  <a:xfrm>
                    <a:off x="0" y="0"/>
                    <a:ext cx="2389951" cy="340567"/>
                  </a:xfrm>
                  <a:prstGeom prst="rect">
                    <a:avLst/>
                  </a:prstGeom>
                </pic:spPr>
              </pic:pic>
            </a:graphicData>
          </a:graphic>
          <wp14:sizeRelH relativeFrom="page">
            <wp14:pctWidth>0</wp14:pctWidth>
          </wp14:sizeRelH>
          <wp14:sizeRelV relativeFrom="page">
            <wp14:pctHeight>0</wp14:pctHeight>
          </wp14:sizeRelV>
        </wp:anchor>
      </w:drawing>
    </w:r>
  </w:p>
  <w:p w:rsidR="0005552D" w:rsidRDefault="0005552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95B3E"/>
    <w:multiLevelType w:val="hybridMultilevel"/>
    <w:tmpl w:val="66C4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F5FAC"/>
    <w:multiLevelType w:val="hybridMultilevel"/>
    <w:tmpl w:val="1066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7F7AAE"/>
    <w:multiLevelType w:val="hybridMultilevel"/>
    <w:tmpl w:val="7122975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nsid w:val="5C0D1BDD"/>
    <w:multiLevelType w:val="hybridMultilevel"/>
    <w:tmpl w:val="6AC699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A7939E2"/>
    <w:multiLevelType w:val="hybridMultilevel"/>
    <w:tmpl w:val="A35A65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5F0512"/>
    <w:multiLevelType w:val="hybridMultilevel"/>
    <w:tmpl w:val="6820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D91992"/>
    <w:multiLevelType w:val="hybridMultilevel"/>
    <w:tmpl w:val="390E3C1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B33"/>
    <w:rsid w:val="0000619A"/>
    <w:rsid w:val="000163DD"/>
    <w:rsid w:val="00024B43"/>
    <w:rsid w:val="00030509"/>
    <w:rsid w:val="0005552D"/>
    <w:rsid w:val="00063A56"/>
    <w:rsid w:val="00067740"/>
    <w:rsid w:val="00073A0B"/>
    <w:rsid w:val="00081789"/>
    <w:rsid w:val="00083AFE"/>
    <w:rsid w:val="000879AB"/>
    <w:rsid w:val="000A4914"/>
    <w:rsid w:val="000A4F42"/>
    <w:rsid w:val="000B157D"/>
    <w:rsid w:val="000B37D6"/>
    <w:rsid w:val="000B736B"/>
    <w:rsid w:val="000C0A47"/>
    <w:rsid w:val="000D3253"/>
    <w:rsid w:val="000E3D50"/>
    <w:rsid w:val="000E5435"/>
    <w:rsid w:val="000E583C"/>
    <w:rsid w:val="000F25FE"/>
    <w:rsid w:val="000F36A0"/>
    <w:rsid w:val="000F5625"/>
    <w:rsid w:val="000F5D13"/>
    <w:rsid w:val="000F7C2D"/>
    <w:rsid w:val="0013010F"/>
    <w:rsid w:val="001400B0"/>
    <w:rsid w:val="00147424"/>
    <w:rsid w:val="001574E0"/>
    <w:rsid w:val="00157D0E"/>
    <w:rsid w:val="00162FE6"/>
    <w:rsid w:val="001865A9"/>
    <w:rsid w:val="001879C1"/>
    <w:rsid w:val="001A0B98"/>
    <w:rsid w:val="001B3F49"/>
    <w:rsid w:val="001C2383"/>
    <w:rsid w:val="001C2F46"/>
    <w:rsid w:val="001E2DC4"/>
    <w:rsid w:val="001E6F49"/>
    <w:rsid w:val="00201AC0"/>
    <w:rsid w:val="0020512C"/>
    <w:rsid w:val="00210220"/>
    <w:rsid w:val="00214E44"/>
    <w:rsid w:val="00217084"/>
    <w:rsid w:val="00235909"/>
    <w:rsid w:val="00243572"/>
    <w:rsid w:val="00247C18"/>
    <w:rsid w:val="00247C51"/>
    <w:rsid w:val="00250682"/>
    <w:rsid w:val="002519B0"/>
    <w:rsid w:val="00263084"/>
    <w:rsid w:val="00271676"/>
    <w:rsid w:val="00277F5E"/>
    <w:rsid w:val="00284F5F"/>
    <w:rsid w:val="00290BF1"/>
    <w:rsid w:val="002A1A3C"/>
    <w:rsid w:val="002A56F3"/>
    <w:rsid w:val="002B0849"/>
    <w:rsid w:val="002B58FE"/>
    <w:rsid w:val="002B750E"/>
    <w:rsid w:val="002C10DD"/>
    <w:rsid w:val="002D5CDB"/>
    <w:rsid w:val="002D6496"/>
    <w:rsid w:val="002D7DAD"/>
    <w:rsid w:val="002E0E6A"/>
    <w:rsid w:val="002E5F49"/>
    <w:rsid w:val="002E7D7A"/>
    <w:rsid w:val="002F1EDE"/>
    <w:rsid w:val="002F29FD"/>
    <w:rsid w:val="002F33E3"/>
    <w:rsid w:val="002F4343"/>
    <w:rsid w:val="002F7752"/>
    <w:rsid w:val="00300C4B"/>
    <w:rsid w:val="003115DA"/>
    <w:rsid w:val="00316140"/>
    <w:rsid w:val="00316C8D"/>
    <w:rsid w:val="003179C7"/>
    <w:rsid w:val="00323E47"/>
    <w:rsid w:val="00337C57"/>
    <w:rsid w:val="00344A0E"/>
    <w:rsid w:val="003474A7"/>
    <w:rsid w:val="0036476B"/>
    <w:rsid w:val="00370032"/>
    <w:rsid w:val="00370C4C"/>
    <w:rsid w:val="003769D6"/>
    <w:rsid w:val="00380438"/>
    <w:rsid w:val="00396FFA"/>
    <w:rsid w:val="003A2391"/>
    <w:rsid w:val="003A4BD4"/>
    <w:rsid w:val="003A4D68"/>
    <w:rsid w:val="003A57FB"/>
    <w:rsid w:val="003A6BDD"/>
    <w:rsid w:val="003B0FCC"/>
    <w:rsid w:val="003B35F4"/>
    <w:rsid w:val="003B3BE4"/>
    <w:rsid w:val="003C3B2E"/>
    <w:rsid w:val="003C6930"/>
    <w:rsid w:val="003C72BE"/>
    <w:rsid w:val="003D1366"/>
    <w:rsid w:val="003D47D4"/>
    <w:rsid w:val="0040000A"/>
    <w:rsid w:val="00410BA9"/>
    <w:rsid w:val="00415E7F"/>
    <w:rsid w:val="004344F5"/>
    <w:rsid w:val="00442EC9"/>
    <w:rsid w:val="00446788"/>
    <w:rsid w:val="00447AD9"/>
    <w:rsid w:val="004510B4"/>
    <w:rsid w:val="00457925"/>
    <w:rsid w:val="00463398"/>
    <w:rsid w:val="00463B82"/>
    <w:rsid w:val="004672E0"/>
    <w:rsid w:val="004705FB"/>
    <w:rsid w:val="00473D61"/>
    <w:rsid w:val="00474A83"/>
    <w:rsid w:val="00474CEB"/>
    <w:rsid w:val="00481699"/>
    <w:rsid w:val="00483D1B"/>
    <w:rsid w:val="004908FA"/>
    <w:rsid w:val="004A191C"/>
    <w:rsid w:val="004A465B"/>
    <w:rsid w:val="004B37C4"/>
    <w:rsid w:val="004C77AD"/>
    <w:rsid w:val="004D3E42"/>
    <w:rsid w:val="004E66D5"/>
    <w:rsid w:val="004F37CF"/>
    <w:rsid w:val="004F3AC9"/>
    <w:rsid w:val="00510064"/>
    <w:rsid w:val="00532107"/>
    <w:rsid w:val="00532A9B"/>
    <w:rsid w:val="00545285"/>
    <w:rsid w:val="005532F9"/>
    <w:rsid w:val="0055575B"/>
    <w:rsid w:val="0056064A"/>
    <w:rsid w:val="00563A5D"/>
    <w:rsid w:val="00566F5E"/>
    <w:rsid w:val="005776EB"/>
    <w:rsid w:val="00584907"/>
    <w:rsid w:val="00586C4D"/>
    <w:rsid w:val="00591A13"/>
    <w:rsid w:val="00595D49"/>
    <w:rsid w:val="005A0866"/>
    <w:rsid w:val="005B0025"/>
    <w:rsid w:val="005B1309"/>
    <w:rsid w:val="005B1B3C"/>
    <w:rsid w:val="005B3DC4"/>
    <w:rsid w:val="005C735C"/>
    <w:rsid w:val="005D0574"/>
    <w:rsid w:val="005D4215"/>
    <w:rsid w:val="005E046A"/>
    <w:rsid w:val="005F07F8"/>
    <w:rsid w:val="005F6D5F"/>
    <w:rsid w:val="00604A2F"/>
    <w:rsid w:val="006055E4"/>
    <w:rsid w:val="006059D7"/>
    <w:rsid w:val="00610F56"/>
    <w:rsid w:val="006221F2"/>
    <w:rsid w:val="0063110A"/>
    <w:rsid w:val="00637139"/>
    <w:rsid w:val="00640A99"/>
    <w:rsid w:val="00643C64"/>
    <w:rsid w:val="006450EC"/>
    <w:rsid w:val="0065226C"/>
    <w:rsid w:val="006569C4"/>
    <w:rsid w:val="00663532"/>
    <w:rsid w:val="00667D8D"/>
    <w:rsid w:val="006740E3"/>
    <w:rsid w:val="00685D6C"/>
    <w:rsid w:val="00693596"/>
    <w:rsid w:val="006A544D"/>
    <w:rsid w:val="006A5FA3"/>
    <w:rsid w:val="006A7A8D"/>
    <w:rsid w:val="006B1CF3"/>
    <w:rsid w:val="006B3BBB"/>
    <w:rsid w:val="006B5190"/>
    <w:rsid w:val="006B724D"/>
    <w:rsid w:val="006B7F39"/>
    <w:rsid w:val="006E21E3"/>
    <w:rsid w:val="006E4B33"/>
    <w:rsid w:val="006E568B"/>
    <w:rsid w:val="006E7410"/>
    <w:rsid w:val="006F008D"/>
    <w:rsid w:val="007004F4"/>
    <w:rsid w:val="0070753C"/>
    <w:rsid w:val="00712D4D"/>
    <w:rsid w:val="00723615"/>
    <w:rsid w:val="00737594"/>
    <w:rsid w:val="0074220D"/>
    <w:rsid w:val="007437A9"/>
    <w:rsid w:val="00744A61"/>
    <w:rsid w:val="007629F2"/>
    <w:rsid w:val="00765110"/>
    <w:rsid w:val="007661BF"/>
    <w:rsid w:val="007817D9"/>
    <w:rsid w:val="007A5BFA"/>
    <w:rsid w:val="007B38BC"/>
    <w:rsid w:val="007B5E3F"/>
    <w:rsid w:val="007C039E"/>
    <w:rsid w:val="007C2D9B"/>
    <w:rsid w:val="007C3242"/>
    <w:rsid w:val="007C45D9"/>
    <w:rsid w:val="007C626E"/>
    <w:rsid w:val="007C6FED"/>
    <w:rsid w:val="007C7B88"/>
    <w:rsid w:val="007D01ED"/>
    <w:rsid w:val="007D69DE"/>
    <w:rsid w:val="007E0B95"/>
    <w:rsid w:val="007E1BBA"/>
    <w:rsid w:val="007E5C1F"/>
    <w:rsid w:val="007F1EB3"/>
    <w:rsid w:val="007F4195"/>
    <w:rsid w:val="007F676A"/>
    <w:rsid w:val="00802D53"/>
    <w:rsid w:val="0080417C"/>
    <w:rsid w:val="00807190"/>
    <w:rsid w:val="00825CF6"/>
    <w:rsid w:val="008365EC"/>
    <w:rsid w:val="008429BD"/>
    <w:rsid w:val="00860E69"/>
    <w:rsid w:val="00862530"/>
    <w:rsid w:val="0086402F"/>
    <w:rsid w:val="008647DD"/>
    <w:rsid w:val="00873A7A"/>
    <w:rsid w:val="00877B4B"/>
    <w:rsid w:val="00882052"/>
    <w:rsid w:val="00883A27"/>
    <w:rsid w:val="00890FE4"/>
    <w:rsid w:val="00891441"/>
    <w:rsid w:val="00892440"/>
    <w:rsid w:val="008A0394"/>
    <w:rsid w:val="008A6835"/>
    <w:rsid w:val="008A6C85"/>
    <w:rsid w:val="008B2249"/>
    <w:rsid w:val="008B44FE"/>
    <w:rsid w:val="008B4EAF"/>
    <w:rsid w:val="008C3415"/>
    <w:rsid w:val="008C58F9"/>
    <w:rsid w:val="008D082D"/>
    <w:rsid w:val="008D4E33"/>
    <w:rsid w:val="008E1C01"/>
    <w:rsid w:val="008E3012"/>
    <w:rsid w:val="008F5AC5"/>
    <w:rsid w:val="009001C3"/>
    <w:rsid w:val="009101E5"/>
    <w:rsid w:val="009123E2"/>
    <w:rsid w:val="00915811"/>
    <w:rsid w:val="00916991"/>
    <w:rsid w:val="009205CF"/>
    <w:rsid w:val="009355C8"/>
    <w:rsid w:val="0094533D"/>
    <w:rsid w:val="009552FD"/>
    <w:rsid w:val="009630E5"/>
    <w:rsid w:val="00964261"/>
    <w:rsid w:val="00977EE2"/>
    <w:rsid w:val="00984535"/>
    <w:rsid w:val="009862DB"/>
    <w:rsid w:val="00986B17"/>
    <w:rsid w:val="0099324F"/>
    <w:rsid w:val="009A7619"/>
    <w:rsid w:val="009A7F81"/>
    <w:rsid w:val="009C1E45"/>
    <w:rsid w:val="009C2AB7"/>
    <w:rsid w:val="009D05B3"/>
    <w:rsid w:val="009E78D1"/>
    <w:rsid w:val="009F23CC"/>
    <w:rsid w:val="009F5CA4"/>
    <w:rsid w:val="00A020FB"/>
    <w:rsid w:val="00A10FDB"/>
    <w:rsid w:val="00A15D24"/>
    <w:rsid w:val="00A16DAC"/>
    <w:rsid w:val="00A2043D"/>
    <w:rsid w:val="00A30C7D"/>
    <w:rsid w:val="00A43AA8"/>
    <w:rsid w:val="00A4403C"/>
    <w:rsid w:val="00A4689E"/>
    <w:rsid w:val="00A547CC"/>
    <w:rsid w:val="00A5575C"/>
    <w:rsid w:val="00A63690"/>
    <w:rsid w:val="00A6592F"/>
    <w:rsid w:val="00A668F3"/>
    <w:rsid w:val="00A745EE"/>
    <w:rsid w:val="00A81E32"/>
    <w:rsid w:val="00A841F8"/>
    <w:rsid w:val="00A86F4A"/>
    <w:rsid w:val="00A94D55"/>
    <w:rsid w:val="00AA61C7"/>
    <w:rsid w:val="00AB15F8"/>
    <w:rsid w:val="00AB387C"/>
    <w:rsid w:val="00AB4A5D"/>
    <w:rsid w:val="00AC0B14"/>
    <w:rsid w:val="00AE2A69"/>
    <w:rsid w:val="00AE3BB7"/>
    <w:rsid w:val="00AF2677"/>
    <w:rsid w:val="00AF555B"/>
    <w:rsid w:val="00B02124"/>
    <w:rsid w:val="00B077B5"/>
    <w:rsid w:val="00B13AAC"/>
    <w:rsid w:val="00B14466"/>
    <w:rsid w:val="00B159DF"/>
    <w:rsid w:val="00B2382C"/>
    <w:rsid w:val="00B26E14"/>
    <w:rsid w:val="00B27E35"/>
    <w:rsid w:val="00B4247C"/>
    <w:rsid w:val="00B44940"/>
    <w:rsid w:val="00B653F8"/>
    <w:rsid w:val="00B70A60"/>
    <w:rsid w:val="00B8010B"/>
    <w:rsid w:val="00B80C0D"/>
    <w:rsid w:val="00B94FDA"/>
    <w:rsid w:val="00BA17A0"/>
    <w:rsid w:val="00BA2F77"/>
    <w:rsid w:val="00BB1035"/>
    <w:rsid w:val="00BB16A2"/>
    <w:rsid w:val="00BC18AC"/>
    <w:rsid w:val="00BC4C4A"/>
    <w:rsid w:val="00BD2198"/>
    <w:rsid w:val="00BE2E3B"/>
    <w:rsid w:val="00BF24C7"/>
    <w:rsid w:val="00BF3E29"/>
    <w:rsid w:val="00C12552"/>
    <w:rsid w:val="00C136C0"/>
    <w:rsid w:val="00C14F8B"/>
    <w:rsid w:val="00C1647C"/>
    <w:rsid w:val="00C16822"/>
    <w:rsid w:val="00C24EA9"/>
    <w:rsid w:val="00C25828"/>
    <w:rsid w:val="00C316D3"/>
    <w:rsid w:val="00C3799A"/>
    <w:rsid w:val="00C41596"/>
    <w:rsid w:val="00C4245F"/>
    <w:rsid w:val="00C45D57"/>
    <w:rsid w:val="00C5294F"/>
    <w:rsid w:val="00C63E37"/>
    <w:rsid w:val="00C64A41"/>
    <w:rsid w:val="00C67C7A"/>
    <w:rsid w:val="00C70787"/>
    <w:rsid w:val="00C738D5"/>
    <w:rsid w:val="00C77D07"/>
    <w:rsid w:val="00C82B37"/>
    <w:rsid w:val="00C951EA"/>
    <w:rsid w:val="00CA3F72"/>
    <w:rsid w:val="00CA7957"/>
    <w:rsid w:val="00CB0E64"/>
    <w:rsid w:val="00CB7241"/>
    <w:rsid w:val="00CC5F40"/>
    <w:rsid w:val="00CD468D"/>
    <w:rsid w:val="00CD72A8"/>
    <w:rsid w:val="00CE033F"/>
    <w:rsid w:val="00CE080D"/>
    <w:rsid w:val="00CE37DD"/>
    <w:rsid w:val="00CF70AB"/>
    <w:rsid w:val="00D02960"/>
    <w:rsid w:val="00D35053"/>
    <w:rsid w:val="00D45501"/>
    <w:rsid w:val="00D51032"/>
    <w:rsid w:val="00D51CF1"/>
    <w:rsid w:val="00D53475"/>
    <w:rsid w:val="00D7597B"/>
    <w:rsid w:val="00D77BCB"/>
    <w:rsid w:val="00D82040"/>
    <w:rsid w:val="00D85F4B"/>
    <w:rsid w:val="00DA064A"/>
    <w:rsid w:val="00DA08C0"/>
    <w:rsid w:val="00DC1525"/>
    <w:rsid w:val="00DD43CD"/>
    <w:rsid w:val="00DE525A"/>
    <w:rsid w:val="00DE716E"/>
    <w:rsid w:val="00DF51F2"/>
    <w:rsid w:val="00DF549D"/>
    <w:rsid w:val="00E01ADB"/>
    <w:rsid w:val="00E04738"/>
    <w:rsid w:val="00E1059A"/>
    <w:rsid w:val="00E161BA"/>
    <w:rsid w:val="00E17888"/>
    <w:rsid w:val="00E27479"/>
    <w:rsid w:val="00E275A2"/>
    <w:rsid w:val="00E42CE8"/>
    <w:rsid w:val="00E46AEE"/>
    <w:rsid w:val="00E50DFD"/>
    <w:rsid w:val="00E53B51"/>
    <w:rsid w:val="00E53B86"/>
    <w:rsid w:val="00E55009"/>
    <w:rsid w:val="00E6077D"/>
    <w:rsid w:val="00E60CF4"/>
    <w:rsid w:val="00E71FF0"/>
    <w:rsid w:val="00E81B4B"/>
    <w:rsid w:val="00E82B36"/>
    <w:rsid w:val="00E85F89"/>
    <w:rsid w:val="00E91F1B"/>
    <w:rsid w:val="00E96331"/>
    <w:rsid w:val="00EA2B6C"/>
    <w:rsid w:val="00ED2848"/>
    <w:rsid w:val="00ED2D4E"/>
    <w:rsid w:val="00EE1BB9"/>
    <w:rsid w:val="00EE3498"/>
    <w:rsid w:val="00EE34B3"/>
    <w:rsid w:val="00EF383F"/>
    <w:rsid w:val="00EF7F15"/>
    <w:rsid w:val="00F1663B"/>
    <w:rsid w:val="00F27DB7"/>
    <w:rsid w:val="00F30FF9"/>
    <w:rsid w:val="00F356FE"/>
    <w:rsid w:val="00F362B6"/>
    <w:rsid w:val="00F3724E"/>
    <w:rsid w:val="00F40B93"/>
    <w:rsid w:val="00F437B3"/>
    <w:rsid w:val="00F43DEB"/>
    <w:rsid w:val="00F46527"/>
    <w:rsid w:val="00F47E24"/>
    <w:rsid w:val="00F50EA8"/>
    <w:rsid w:val="00F53448"/>
    <w:rsid w:val="00F70B7A"/>
    <w:rsid w:val="00F73270"/>
    <w:rsid w:val="00F744FF"/>
    <w:rsid w:val="00F764CC"/>
    <w:rsid w:val="00F90145"/>
    <w:rsid w:val="00FA1272"/>
    <w:rsid w:val="00FA1F65"/>
    <w:rsid w:val="00FB0D96"/>
    <w:rsid w:val="00FB483A"/>
    <w:rsid w:val="00FB567A"/>
    <w:rsid w:val="00FC1567"/>
    <w:rsid w:val="00FC1E8E"/>
    <w:rsid w:val="00FC2FDB"/>
    <w:rsid w:val="00FC709F"/>
    <w:rsid w:val="00FC7345"/>
    <w:rsid w:val="00FE2352"/>
    <w:rsid w:val="00FE68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Ingetavstnd"/>
    <w:qFormat/>
    <w:rsid w:val="00073A0B"/>
    <w:pPr>
      <w:spacing w:after="0" w:line="280" w:lineRule="atLeast"/>
      <w:ind w:firstLine="284"/>
      <w:jc w:val="both"/>
    </w:pPr>
    <w:rPr>
      <w:rFonts w:ascii="Times New Roman" w:hAnsi="Times New Roman"/>
    </w:rPr>
  </w:style>
  <w:style w:type="paragraph" w:styleId="Rubrik1">
    <w:name w:val="heading 1"/>
    <w:basedOn w:val="Normal"/>
    <w:next w:val="Normal"/>
    <w:link w:val="Rubrik1Char"/>
    <w:uiPriority w:val="9"/>
    <w:qFormat/>
    <w:rsid w:val="00C136C0"/>
    <w:pPr>
      <w:keepNext/>
      <w:keepLines/>
      <w:spacing w:before="360"/>
      <w:ind w:firstLine="0"/>
      <w:outlineLvl w:val="0"/>
    </w:pPr>
    <w:rPr>
      <w:rFonts w:asciiTheme="majorHAnsi" w:eastAsiaTheme="majorEastAsia" w:hAnsiTheme="majorHAnsi" w:cstheme="majorBidi"/>
      <w:color w:val="C00000"/>
      <w:sz w:val="40"/>
      <w:szCs w:val="32"/>
    </w:rPr>
  </w:style>
  <w:style w:type="paragraph" w:styleId="Rubrik2">
    <w:name w:val="heading 2"/>
    <w:basedOn w:val="Normal"/>
    <w:next w:val="Normal"/>
    <w:link w:val="Rubrik2Char"/>
    <w:uiPriority w:val="9"/>
    <w:unhideWhenUsed/>
    <w:qFormat/>
    <w:rsid w:val="00F3724E"/>
    <w:pPr>
      <w:keepNext/>
      <w:keepLines/>
      <w:spacing w:before="240" w:line="360" w:lineRule="atLeast"/>
      <w:ind w:firstLine="0"/>
      <w:outlineLvl w:val="1"/>
    </w:pPr>
    <w:rPr>
      <w:rFonts w:asciiTheme="minorHAnsi" w:eastAsiaTheme="majorEastAsia" w:hAnsiTheme="minorHAnsi" w:cstheme="majorBidi"/>
      <w:color w:val="C00000"/>
      <w:sz w:val="32"/>
      <w:szCs w:val="26"/>
    </w:rPr>
  </w:style>
  <w:style w:type="paragraph" w:styleId="Rubrik3">
    <w:name w:val="heading 3"/>
    <w:basedOn w:val="Normal"/>
    <w:next w:val="Normal"/>
    <w:link w:val="Rubrik3Char"/>
    <w:uiPriority w:val="9"/>
    <w:unhideWhenUsed/>
    <w:qFormat/>
    <w:rsid w:val="00E81B4B"/>
    <w:pPr>
      <w:keepNext/>
      <w:keepLines/>
      <w:spacing w:before="40"/>
      <w:outlineLvl w:val="2"/>
    </w:pPr>
    <w:rPr>
      <w:rFonts w:asciiTheme="majorHAnsi" w:eastAsiaTheme="majorEastAsia" w:hAnsiTheme="majorHAnsi" w:cstheme="majorBidi"/>
      <w:color w:val="000000" w:themeColor="text1"/>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36C0"/>
    <w:rPr>
      <w:rFonts w:asciiTheme="majorHAnsi" w:eastAsiaTheme="majorEastAsia" w:hAnsiTheme="majorHAnsi" w:cstheme="majorBidi"/>
      <w:color w:val="C00000"/>
      <w:sz w:val="40"/>
      <w:szCs w:val="32"/>
    </w:rPr>
  </w:style>
  <w:style w:type="paragraph" w:styleId="Innehllsfrteckningsrubrik">
    <w:name w:val="TOC Heading"/>
    <w:basedOn w:val="Rubrik1"/>
    <w:next w:val="Normal"/>
    <w:uiPriority w:val="39"/>
    <w:unhideWhenUsed/>
    <w:qFormat/>
    <w:rsid w:val="006E4B33"/>
    <w:pPr>
      <w:outlineLvl w:val="9"/>
    </w:pPr>
    <w:rPr>
      <w:lang w:val="en-US"/>
    </w:rPr>
  </w:style>
  <w:style w:type="paragraph" w:styleId="Innehll1">
    <w:name w:val="toc 1"/>
    <w:basedOn w:val="Normal"/>
    <w:next w:val="Normal"/>
    <w:autoRedefine/>
    <w:uiPriority w:val="39"/>
    <w:unhideWhenUsed/>
    <w:rsid w:val="00737594"/>
    <w:pPr>
      <w:tabs>
        <w:tab w:val="right" w:leader="dot" w:pos="9062"/>
      </w:tabs>
      <w:spacing w:after="100" w:line="600" w:lineRule="auto"/>
      <w:jc w:val="left"/>
    </w:pPr>
  </w:style>
  <w:style w:type="character" w:styleId="Hyperlnk">
    <w:name w:val="Hyperlink"/>
    <w:basedOn w:val="Standardstycketeckensnitt"/>
    <w:uiPriority w:val="99"/>
    <w:unhideWhenUsed/>
    <w:rsid w:val="006E4B33"/>
    <w:rPr>
      <w:color w:val="0563C1" w:themeColor="hyperlink"/>
      <w:u w:val="single"/>
    </w:rPr>
  </w:style>
  <w:style w:type="character" w:customStyle="1" w:styleId="Rubrik2Char">
    <w:name w:val="Rubrik 2 Char"/>
    <w:basedOn w:val="Standardstycketeckensnitt"/>
    <w:link w:val="Rubrik2"/>
    <w:uiPriority w:val="9"/>
    <w:rsid w:val="00F3724E"/>
    <w:rPr>
      <w:rFonts w:eastAsiaTheme="majorEastAsia" w:cstheme="majorBidi"/>
      <w:color w:val="C00000"/>
      <w:sz w:val="32"/>
      <w:szCs w:val="26"/>
    </w:rPr>
  </w:style>
  <w:style w:type="paragraph" w:styleId="Rubrik">
    <w:name w:val="Title"/>
    <w:basedOn w:val="Normal"/>
    <w:next w:val="Normal"/>
    <w:link w:val="RubrikChar"/>
    <w:uiPriority w:val="10"/>
    <w:qFormat/>
    <w:rsid w:val="006E4B33"/>
    <w:pPr>
      <w:spacing w:line="240" w:lineRule="auto"/>
      <w:contextualSpacing/>
      <w:jc w:val="right"/>
    </w:pPr>
    <w:rPr>
      <w:rFonts w:asciiTheme="majorHAnsi" w:eastAsiaTheme="majorEastAsia" w:hAnsiTheme="majorHAnsi" w:cstheme="majorBidi"/>
      <w:b/>
      <w:color w:val="CC0033"/>
      <w:spacing w:val="-10"/>
      <w:kern w:val="28"/>
      <w:sz w:val="72"/>
      <w:szCs w:val="56"/>
    </w:rPr>
  </w:style>
  <w:style w:type="character" w:customStyle="1" w:styleId="RubrikChar">
    <w:name w:val="Rubrik Char"/>
    <w:basedOn w:val="Standardstycketeckensnitt"/>
    <w:link w:val="Rubrik"/>
    <w:uiPriority w:val="10"/>
    <w:rsid w:val="006E4B33"/>
    <w:rPr>
      <w:rFonts w:asciiTheme="majorHAnsi" w:eastAsiaTheme="majorEastAsia" w:hAnsiTheme="majorHAnsi" w:cstheme="majorBidi"/>
      <w:b/>
      <w:color w:val="CC0033"/>
      <w:spacing w:val="-10"/>
      <w:kern w:val="28"/>
      <w:sz w:val="72"/>
      <w:szCs w:val="56"/>
    </w:rPr>
  </w:style>
  <w:style w:type="paragraph" w:styleId="Innehll2">
    <w:name w:val="toc 2"/>
    <w:basedOn w:val="Normal"/>
    <w:next w:val="Normal"/>
    <w:autoRedefine/>
    <w:uiPriority w:val="39"/>
    <w:unhideWhenUsed/>
    <w:rsid w:val="006E4B33"/>
    <w:pPr>
      <w:spacing w:after="100"/>
      <w:ind w:left="220"/>
    </w:pPr>
  </w:style>
  <w:style w:type="paragraph" w:styleId="Liststycke">
    <w:name w:val="List Paragraph"/>
    <w:basedOn w:val="Normal"/>
    <w:uiPriority w:val="34"/>
    <w:qFormat/>
    <w:rsid w:val="006E4B33"/>
    <w:pPr>
      <w:ind w:left="720"/>
      <w:contextualSpacing/>
    </w:pPr>
  </w:style>
  <w:style w:type="paragraph" w:styleId="Sidhuvud">
    <w:name w:val="header"/>
    <w:basedOn w:val="Normal"/>
    <w:link w:val="SidhuvudChar"/>
    <w:uiPriority w:val="99"/>
    <w:unhideWhenUsed/>
    <w:rsid w:val="00A5575C"/>
    <w:pPr>
      <w:tabs>
        <w:tab w:val="center" w:pos="4703"/>
        <w:tab w:val="right" w:pos="9406"/>
      </w:tabs>
      <w:spacing w:line="240" w:lineRule="auto"/>
    </w:pPr>
  </w:style>
  <w:style w:type="paragraph" w:styleId="Brdtextmedindrag3">
    <w:name w:val="Body Text Indent 3"/>
    <w:basedOn w:val="Normal"/>
    <w:link w:val="Brdtextmedindrag3Char"/>
    <w:uiPriority w:val="99"/>
    <w:semiHidden/>
    <w:unhideWhenUsed/>
    <w:rsid w:val="00A5575C"/>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A5575C"/>
    <w:rPr>
      <w:rFonts w:ascii="Times New Roman" w:hAnsi="Times New Roman"/>
      <w:sz w:val="16"/>
      <w:szCs w:val="16"/>
    </w:rPr>
  </w:style>
  <w:style w:type="paragraph" w:styleId="Ingetavstnd">
    <w:name w:val="No Spacing"/>
    <w:uiPriority w:val="1"/>
    <w:qFormat/>
    <w:rsid w:val="00A5575C"/>
    <w:pPr>
      <w:spacing w:after="0" w:line="240" w:lineRule="auto"/>
      <w:jc w:val="both"/>
    </w:pPr>
    <w:rPr>
      <w:rFonts w:ascii="Times New Roman" w:hAnsi="Times New Roman"/>
    </w:rPr>
  </w:style>
  <w:style w:type="character" w:customStyle="1" w:styleId="SidhuvudChar">
    <w:name w:val="Sidhuvud Char"/>
    <w:basedOn w:val="Standardstycketeckensnitt"/>
    <w:link w:val="Sidhuvud"/>
    <w:uiPriority w:val="99"/>
    <w:rsid w:val="00A5575C"/>
    <w:rPr>
      <w:rFonts w:ascii="Times New Roman" w:hAnsi="Times New Roman"/>
    </w:rPr>
  </w:style>
  <w:style w:type="paragraph" w:styleId="Sidfot">
    <w:name w:val="footer"/>
    <w:basedOn w:val="Normal"/>
    <w:link w:val="SidfotChar"/>
    <w:uiPriority w:val="99"/>
    <w:unhideWhenUsed/>
    <w:rsid w:val="00A5575C"/>
    <w:pPr>
      <w:tabs>
        <w:tab w:val="center" w:pos="4703"/>
        <w:tab w:val="right" w:pos="9406"/>
      </w:tabs>
      <w:spacing w:line="240" w:lineRule="auto"/>
    </w:pPr>
  </w:style>
  <w:style w:type="character" w:customStyle="1" w:styleId="SidfotChar">
    <w:name w:val="Sidfot Char"/>
    <w:basedOn w:val="Standardstycketeckensnitt"/>
    <w:link w:val="Sidfot"/>
    <w:uiPriority w:val="99"/>
    <w:rsid w:val="00A5575C"/>
    <w:rPr>
      <w:rFonts w:ascii="Times New Roman" w:hAnsi="Times New Roman"/>
    </w:rPr>
  </w:style>
  <w:style w:type="table" w:styleId="Tabellrutnt">
    <w:name w:val="Table Grid"/>
    <w:basedOn w:val="Normaltabell"/>
    <w:uiPriority w:val="39"/>
    <w:rsid w:val="00E96331"/>
    <w:pPr>
      <w:spacing w:after="0" w:line="240" w:lineRule="auto"/>
      <w:jc w:val="both"/>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ndtextindrag">
    <w:name w:val="Grundtext indrag"/>
    <w:basedOn w:val="Normal"/>
    <w:uiPriority w:val="99"/>
    <w:rsid w:val="00E96331"/>
    <w:pPr>
      <w:widowControl w:val="0"/>
      <w:autoSpaceDE w:val="0"/>
      <w:autoSpaceDN w:val="0"/>
      <w:adjustRightInd w:val="0"/>
      <w:ind w:firstLine="227"/>
      <w:contextualSpacing/>
      <w:jc w:val="left"/>
      <w:textAlignment w:val="baseline"/>
    </w:pPr>
    <w:rPr>
      <w:rFonts w:ascii="AGaramondPro-Regular" w:eastAsiaTheme="minorEastAsia" w:hAnsi="AGaramondPro-Regular" w:cs="AGaramondPro-Regular"/>
      <w:color w:val="000000"/>
      <w:szCs w:val="20"/>
    </w:rPr>
  </w:style>
  <w:style w:type="paragraph" w:styleId="Beskrivning">
    <w:name w:val="caption"/>
    <w:basedOn w:val="Normal"/>
    <w:next w:val="Normal"/>
    <w:uiPriority w:val="35"/>
    <w:unhideWhenUsed/>
    <w:qFormat/>
    <w:rsid w:val="00E96331"/>
    <w:pPr>
      <w:spacing w:after="200" w:line="276" w:lineRule="auto"/>
    </w:pPr>
    <w:rPr>
      <w:rFonts w:asciiTheme="minorHAnsi" w:eastAsiaTheme="minorEastAsia" w:hAnsiTheme="minorHAnsi"/>
      <w:b/>
      <w:bCs/>
      <w:caps/>
      <w:sz w:val="16"/>
      <w:szCs w:val="18"/>
      <w:lang w:val="en-US"/>
    </w:rPr>
  </w:style>
  <w:style w:type="paragraph" w:customStyle="1" w:styleId="Grundtext">
    <w:name w:val="Grundtext"/>
    <w:basedOn w:val="Normal"/>
    <w:uiPriority w:val="99"/>
    <w:rsid w:val="00E96331"/>
    <w:pPr>
      <w:widowControl w:val="0"/>
      <w:autoSpaceDE w:val="0"/>
      <w:autoSpaceDN w:val="0"/>
      <w:adjustRightInd w:val="0"/>
      <w:contextualSpacing/>
      <w:jc w:val="left"/>
      <w:textAlignment w:val="baseline"/>
    </w:pPr>
    <w:rPr>
      <w:rFonts w:ascii="AGaramondPro-Regular" w:eastAsiaTheme="minorEastAsia" w:hAnsi="AGaramondPro-Regular" w:cs="AGaramondPro-Regular"/>
      <w:color w:val="000000"/>
      <w:szCs w:val="20"/>
    </w:rPr>
  </w:style>
  <w:style w:type="paragraph" w:customStyle="1" w:styleId="Rubrik2OK">
    <w:name w:val="Rubrik 2 OK"/>
    <w:basedOn w:val="Grundtext"/>
    <w:next w:val="Grundtext"/>
    <w:uiPriority w:val="99"/>
    <w:qFormat/>
    <w:rsid w:val="00E96331"/>
    <w:pPr>
      <w:keepNext/>
      <w:suppressAutoHyphens/>
      <w:spacing w:before="360" w:after="120" w:line="320" w:lineRule="atLeast"/>
    </w:pPr>
    <w:rPr>
      <w:rFonts w:ascii="AkzidenzGroteskBE-Regular" w:hAnsi="AkzidenzGroteskBE-Regular" w:cs="AkzidenzGroteskBE-Regular"/>
      <w:color w:val="CB0002"/>
      <w:spacing w:val="-3"/>
      <w:position w:val="4"/>
      <w:sz w:val="32"/>
      <w:szCs w:val="32"/>
    </w:rPr>
  </w:style>
  <w:style w:type="paragraph" w:customStyle="1" w:styleId="Ingressitext">
    <w:name w:val="Ingress i text"/>
    <w:basedOn w:val="Normal"/>
    <w:qFormat/>
    <w:rsid w:val="00862530"/>
    <w:pPr>
      <w:widowControl w:val="0"/>
      <w:autoSpaceDE w:val="0"/>
      <w:autoSpaceDN w:val="0"/>
      <w:adjustRightInd w:val="0"/>
      <w:spacing w:after="240"/>
      <w:jc w:val="left"/>
      <w:textAlignment w:val="baseline"/>
    </w:pPr>
    <w:rPr>
      <w:rFonts w:ascii="AkzidenzGroteskBE-Regular" w:eastAsiaTheme="minorEastAsia" w:hAnsi="AkzidenzGroteskBE-Regular" w:cs="AkzidenzGroteskBE-Regular"/>
      <w:color w:val="000000"/>
      <w:spacing w:val="-1"/>
      <w:sz w:val="25"/>
      <w:szCs w:val="25"/>
    </w:rPr>
  </w:style>
  <w:style w:type="character" w:styleId="Fotnotsreferens">
    <w:name w:val="footnote reference"/>
    <w:uiPriority w:val="99"/>
    <w:unhideWhenUsed/>
    <w:qFormat/>
    <w:rsid w:val="00862530"/>
    <w:rPr>
      <w:rFonts w:ascii="Akzidenz-Grotesk (R)" w:hAnsi="Akzidenz-Grotesk (R)"/>
      <w:b w:val="0"/>
      <w:bCs w:val="0"/>
      <w:i w:val="0"/>
      <w:iCs w:val="0"/>
      <w:sz w:val="15"/>
      <w:vertAlign w:val="baseline"/>
    </w:rPr>
  </w:style>
  <w:style w:type="paragraph" w:styleId="Fotnotstext">
    <w:name w:val="footnote text"/>
    <w:basedOn w:val="Normal"/>
    <w:link w:val="FotnotstextChar"/>
    <w:uiPriority w:val="99"/>
    <w:unhideWhenUsed/>
    <w:rsid w:val="00862530"/>
    <w:pPr>
      <w:spacing w:line="240" w:lineRule="auto"/>
    </w:pPr>
    <w:rPr>
      <w:rFonts w:asciiTheme="minorHAnsi" w:eastAsiaTheme="minorEastAsia" w:hAnsiTheme="minorHAnsi"/>
      <w:sz w:val="20"/>
      <w:szCs w:val="20"/>
      <w:lang w:val="en-US"/>
    </w:rPr>
  </w:style>
  <w:style w:type="character" w:customStyle="1" w:styleId="FotnotstextChar">
    <w:name w:val="Fotnotstext Char"/>
    <w:basedOn w:val="Standardstycketeckensnitt"/>
    <w:link w:val="Fotnotstext"/>
    <w:uiPriority w:val="99"/>
    <w:rsid w:val="00862530"/>
    <w:rPr>
      <w:rFonts w:eastAsiaTheme="minorEastAsia"/>
      <w:sz w:val="20"/>
      <w:szCs w:val="20"/>
      <w:lang w:val="en-US"/>
    </w:rPr>
  </w:style>
  <w:style w:type="character" w:styleId="AnvndHyperlnk">
    <w:name w:val="FollowedHyperlink"/>
    <w:basedOn w:val="Standardstycketeckensnitt"/>
    <w:uiPriority w:val="99"/>
    <w:semiHidden/>
    <w:unhideWhenUsed/>
    <w:rsid w:val="00510064"/>
    <w:rPr>
      <w:color w:val="954F72" w:themeColor="followedHyperlink"/>
      <w:u w:val="single"/>
    </w:rPr>
  </w:style>
  <w:style w:type="character" w:customStyle="1" w:styleId="Rubrik3Char">
    <w:name w:val="Rubrik 3 Char"/>
    <w:basedOn w:val="Standardstycketeckensnitt"/>
    <w:link w:val="Rubrik3"/>
    <w:uiPriority w:val="9"/>
    <w:rsid w:val="00E81B4B"/>
    <w:rPr>
      <w:rFonts w:asciiTheme="majorHAnsi" w:eastAsiaTheme="majorEastAsia" w:hAnsiTheme="majorHAnsi" w:cstheme="majorBidi"/>
      <w:color w:val="000000" w:themeColor="text1"/>
      <w:sz w:val="24"/>
      <w:szCs w:val="24"/>
    </w:rPr>
  </w:style>
  <w:style w:type="paragraph" w:styleId="Innehll3">
    <w:name w:val="toc 3"/>
    <w:basedOn w:val="Normal"/>
    <w:next w:val="Normal"/>
    <w:autoRedefine/>
    <w:uiPriority w:val="39"/>
    <w:unhideWhenUsed/>
    <w:rsid w:val="00E81B4B"/>
    <w:pPr>
      <w:spacing w:after="100"/>
      <w:ind w:left="440"/>
    </w:pPr>
  </w:style>
  <w:style w:type="paragraph" w:styleId="Ballongtext">
    <w:name w:val="Balloon Text"/>
    <w:basedOn w:val="Normal"/>
    <w:link w:val="BallongtextChar"/>
    <w:uiPriority w:val="99"/>
    <w:semiHidden/>
    <w:unhideWhenUsed/>
    <w:rsid w:val="005532F9"/>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32F9"/>
    <w:rPr>
      <w:rFonts w:ascii="Segoe UI" w:hAnsi="Segoe UI" w:cs="Segoe UI"/>
      <w:sz w:val="18"/>
      <w:szCs w:val="18"/>
    </w:rPr>
  </w:style>
  <w:style w:type="character" w:styleId="Kommentarsreferens">
    <w:name w:val="annotation reference"/>
    <w:basedOn w:val="Standardstycketeckensnitt"/>
    <w:uiPriority w:val="99"/>
    <w:semiHidden/>
    <w:unhideWhenUsed/>
    <w:rsid w:val="00532107"/>
    <w:rPr>
      <w:sz w:val="16"/>
      <w:szCs w:val="16"/>
    </w:rPr>
  </w:style>
  <w:style w:type="paragraph" w:styleId="Kommentarer">
    <w:name w:val="annotation text"/>
    <w:basedOn w:val="Normal"/>
    <w:link w:val="KommentarerChar"/>
    <w:uiPriority w:val="99"/>
    <w:unhideWhenUsed/>
    <w:rsid w:val="00532107"/>
    <w:pPr>
      <w:spacing w:line="240" w:lineRule="auto"/>
    </w:pPr>
    <w:rPr>
      <w:sz w:val="20"/>
      <w:szCs w:val="20"/>
    </w:rPr>
  </w:style>
  <w:style w:type="character" w:customStyle="1" w:styleId="KommentarerChar">
    <w:name w:val="Kommentarer Char"/>
    <w:basedOn w:val="Standardstycketeckensnitt"/>
    <w:link w:val="Kommentarer"/>
    <w:uiPriority w:val="99"/>
    <w:rsid w:val="00532107"/>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532107"/>
    <w:rPr>
      <w:b/>
      <w:bCs/>
    </w:rPr>
  </w:style>
  <w:style w:type="character" w:customStyle="1" w:styleId="KommentarsmneChar">
    <w:name w:val="Kommentarsämne Char"/>
    <w:basedOn w:val="KommentarerChar"/>
    <w:link w:val="Kommentarsmne"/>
    <w:uiPriority w:val="99"/>
    <w:semiHidden/>
    <w:rsid w:val="00532107"/>
    <w:rPr>
      <w:rFonts w:ascii="Times New Roman" w:hAnsi="Times New Roman"/>
      <w:b/>
      <w:bCs/>
      <w:sz w:val="20"/>
      <w:szCs w:val="20"/>
    </w:rPr>
  </w:style>
  <w:style w:type="character" w:styleId="Slutkommentarsreferens">
    <w:name w:val="endnote reference"/>
    <w:basedOn w:val="Standardstycketeckensnitt"/>
    <w:uiPriority w:val="99"/>
    <w:semiHidden/>
    <w:unhideWhenUsed/>
    <w:rsid w:val="003A2391"/>
    <w:rPr>
      <w:vertAlign w:val="superscript"/>
    </w:rPr>
  </w:style>
  <w:style w:type="paragraph" w:styleId="Litteraturfrteckning">
    <w:name w:val="Bibliography"/>
    <w:basedOn w:val="Normal"/>
    <w:next w:val="Normal"/>
    <w:uiPriority w:val="37"/>
    <w:unhideWhenUsed/>
    <w:rsid w:val="003A2391"/>
    <w:pPr>
      <w:spacing w:line="480" w:lineRule="atLeast"/>
      <w:ind w:left="720" w:hanging="720"/>
    </w:pPr>
  </w:style>
  <w:style w:type="table" w:styleId="Ljuslista">
    <w:name w:val="Light List"/>
    <w:basedOn w:val="Normaltabell"/>
    <w:uiPriority w:val="61"/>
    <w:rsid w:val="00E53B51"/>
    <w:pPr>
      <w:spacing w:after="0" w:line="240" w:lineRule="auto"/>
    </w:pPr>
    <w:rPr>
      <w:rFonts w:eastAsiaTheme="minorEastAsia"/>
      <w:lang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Ingetavstnd"/>
    <w:qFormat/>
    <w:rsid w:val="00073A0B"/>
    <w:pPr>
      <w:spacing w:after="0" w:line="280" w:lineRule="atLeast"/>
      <w:ind w:firstLine="284"/>
      <w:jc w:val="both"/>
    </w:pPr>
    <w:rPr>
      <w:rFonts w:ascii="Times New Roman" w:hAnsi="Times New Roman"/>
    </w:rPr>
  </w:style>
  <w:style w:type="paragraph" w:styleId="Rubrik1">
    <w:name w:val="heading 1"/>
    <w:basedOn w:val="Normal"/>
    <w:next w:val="Normal"/>
    <w:link w:val="Rubrik1Char"/>
    <w:uiPriority w:val="9"/>
    <w:qFormat/>
    <w:rsid w:val="00C136C0"/>
    <w:pPr>
      <w:keepNext/>
      <w:keepLines/>
      <w:spacing w:before="360"/>
      <w:ind w:firstLine="0"/>
      <w:outlineLvl w:val="0"/>
    </w:pPr>
    <w:rPr>
      <w:rFonts w:asciiTheme="majorHAnsi" w:eastAsiaTheme="majorEastAsia" w:hAnsiTheme="majorHAnsi" w:cstheme="majorBidi"/>
      <w:color w:val="C00000"/>
      <w:sz w:val="40"/>
      <w:szCs w:val="32"/>
    </w:rPr>
  </w:style>
  <w:style w:type="paragraph" w:styleId="Rubrik2">
    <w:name w:val="heading 2"/>
    <w:basedOn w:val="Normal"/>
    <w:next w:val="Normal"/>
    <w:link w:val="Rubrik2Char"/>
    <w:uiPriority w:val="9"/>
    <w:unhideWhenUsed/>
    <w:qFormat/>
    <w:rsid w:val="00F3724E"/>
    <w:pPr>
      <w:keepNext/>
      <w:keepLines/>
      <w:spacing w:before="240" w:line="360" w:lineRule="atLeast"/>
      <w:ind w:firstLine="0"/>
      <w:outlineLvl w:val="1"/>
    </w:pPr>
    <w:rPr>
      <w:rFonts w:asciiTheme="minorHAnsi" w:eastAsiaTheme="majorEastAsia" w:hAnsiTheme="minorHAnsi" w:cstheme="majorBidi"/>
      <w:color w:val="C00000"/>
      <w:sz w:val="32"/>
      <w:szCs w:val="26"/>
    </w:rPr>
  </w:style>
  <w:style w:type="paragraph" w:styleId="Rubrik3">
    <w:name w:val="heading 3"/>
    <w:basedOn w:val="Normal"/>
    <w:next w:val="Normal"/>
    <w:link w:val="Rubrik3Char"/>
    <w:uiPriority w:val="9"/>
    <w:unhideWhenUsed/>
    <w:qFormat/>
    <w:rsid w:val="00E81B4B"/>
    <w:pPr>
      <w:keepNext/>
      <w:keepLines/>
      <w:spacing w:before="40"/>
      <w:outlineLvl w:val="2"/>
    </w:pPr>
    <w:rPr>
      <w:rFonts w:asciiTheme="majorHAnsi" w:eastAsiaTheme="majorEastAsia" w:hAnsiTheme="majorHAnsi" w:cstheme="majorBidi"/>
      <w:color w:val="000000" w:themeColor="text1"/>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36C0"/>
    <w:rPr>
      <w:rFonts w:asciiTheme="majorHAnsi" w:eastAsiaTheme="majorEastAsia" w:hAnsiTheme="majorHAnsi" w:cstheme="majorBidi"/>
      <w:color w:val="C00000"/>
      <w:sz w:val="40"/>
      <w:szCs w:val="32"/>
    </w:rPr>
  </w:style>
  <w:style w:type="paragraph" w:styleId="Innehllsfrteckningsrubrik">
    <w:name w:val="TOC Heading"/>
    <w:basedOn w:val="Rubrik1"/>
    <w:next w:val="Normal"/>
    <w:uiPriority w:val="39"/>
    <w:unhideWhenUsed/>
    <w:qFormat/>
    <w:rsid w:val="006E4B33"/>
    <w:pPr>
      <w:outlineLvl w:val="9"/>
    </w:pPr>
    <w:rPr>
      <w:lang w:val="en-US"/>
    </w:rPr>
  </w:style>
  <w:style w:type="paragraph" w:styleId="Innehll1">
    <w:name w:val="toc 1"/>
    <w:basedOn w:val="Normal"/>
    <w:next w:val="Normal"/>
    <w:autoRedefine/>
    <w:uiPriority w:val="39"/>
    <w:unhideWhenUsed/>
    <w:rsid w:val="00737594"/>
    <w:pPr>
      <w:tabs>
        <w:tab w:val="right" w:leader="dot" w:pos="9062"/>
      </w:tabs>
      <w:spacing w:after="100" w:line="600" w:lineRule="auto"/>
      <w:jc w:val="left"/>
    </w:pPr>
  </w:style>
  <w:style w:type="character" w:styleId="Hyperlnk">
    <w:name w:val="Hyperlink"/>
    <w:basedOn w:val="Standardstycketeckensnitt"/>
    <w:uiPriority w:val="99"/>
    <w:unhideWhenUsed/>
    <w:rsid w:val="006E4B33"/>
    <w:rPr>
      <w:color w:val="0563C1" w:themeColor="hyperlink"/>
      <w:u w:val="single"/>
    </w:rPr>
  </w:style>
  <w:style w:type="character" w:customStyle="1" w:styleId="Rubrik2Char">
    <w:name w:val="Rubrik 2 Char"/>
    <w:basedOn w:val="Standardstycketeckensnitt"/>
    <w:link w:val="Rubrik2"/>
    <w:uiPriority w:val="9"/>
    <w:rsid w:val="00F3724E"/>
    <w:rPr>
      <w:rFonts w:eastAsiaTheme="majorEastAsia" w:cstheme="majorBidi"/>
      <w:color w:val="C00000"/>
      <w:sz w:val="32"/>
      <w:szCs w:val="26"/>
    </w:rPr>
  </w:style>
  <w:style w:type="paragraph" w:styleId="Rubrik">
    <w:name w:val="Title"/>
    <w:basedOn w:val="Normal"/>
    <w:next w:val="Normal"/>
    <w:link w:val="RubrikChar"/>
    <w:uiPriority w:val="10"/>
    <w:qFormat/>
    <w:rsid w:val="006E4B33"/>
    <w:pPr>
      <w:spacing w:line="240" w:lineRule="auto"/>
      <w:contextualSpacing/>
      <w:jc w:val="right"/>
    </w:pPr>
    <w:rPr>
      <w:rFonts w:asciiTheme="majorHAnsi" w:eastAsiaTheme="majorEastAsia" w:hAnsiTheme="majorHAnsi" w:cstheme="majorBidi"/>
      <w:b/>
      <w:color w:val="CC0033"/>
      <w:spacing w:val="-10"/>
      <w:kern w:val="28"/>
      <w:sz w:val="72"/>
      <w:szCs w:val="56"/>
    </w:rPr>
  </w:style>
  <w:style w:type="character" w:customStyle="1" w:styleId="RubrikChar">
    <w:name w:val="Rubrik Char"/>
    <w:basedOn w:val="Standardstycketeckensnitt"/>
    <w:link w:val="Rubrik"/>
    <w:uiPriority w:val="10"/>
    <w:rsid w:val="006E4B33"/>
    <w:rPr>
      <w:rFonts w:asciiTheme="majorHAnsi" w:eastAsiaTheme="majorEastAsia" w:hAnsiTheme="majorHAnsi" w:cstheme="majorBidi"/>
      <w:b/>
      <w:color w:val="CC0033"/>
      <w:spacing w:val="-10"/>
      <w:kern w:val="28"/>
      <w:sz w:val="72"/>
      <w:szCs w:val="56"/>
    </w:rPr>
  </w:style>
  <w:style w:type="paragraph" w:styleId="Innehll2">
    <w:name w:val="toc 2"/>
    <w:basedOn w:val="Normal"/>
    <w:next w:val="Normal"/>
    <w:autoRedefine/>
    <w:uiPriority w:val="39"/>
    <w:unhideWhenUsed/>
    <w:rsid w:val="006E4B33"/>
    <w:pPr>
      <w:spacing w:after="100"/>
      <w:ind w:left="220"/>
    </w:pPr>
  </w:style>
  <w:style w:type="paragraph" w:styleId="Liststycke">
    <w:name w:val="List Paragraph"/>
    <w:basedOn w:val="Normal"/>
    <w:uiPriority w:val="34"/>
    <w:qFormat/>
    <w:rsid w:val="006E4B33"/>
    <w:pPr>
      <w:ind w:left="720"/>
      <w:contextualSpacing/>
    </w:pPr>
  </w:style>
  <w:style w:type="paragraph" w:styleId="Sidhuvud">
    <w:name w:val="header"/>
    <w:basedOn w:val="Normal"/>
    <w:link w:val="SidhuvudChar"/>
    <w:uiPriority w:val="99"/>
    <w:unhideWhenUsed/>
    <w:rsid w:val="00A5575C"/>
    <w:pPr>
      <w:tabs>
        <w:tab w:val="center" w:pos="4703"/>
        <w:tab w:val="right" w:pos="9406"/>
      </w:tabs>
      <w:spacing w:line="240" w:lineRule="auto"/>
    </w:pPr>
  </w:style>
  <w:style w:type="paragraph" w:styleId="Brdtextmedindrag3">
    <w:name w:val="Body Text Indent 3"/>
    <w:basedOn w:val="Normal"/>
    <w:link w:val="Brdtextmedindrag3Char"/>
    <w:uiPriority w:val="99"/>
    <w:semiHidden/>
    <w:unhideWhenUsed/>
    <w:rsid w:val="00A5575C"/>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A5575C"/>
    <w:rPr>
      <w:rFonts w:ascii="Times New Roman" w:hAnsi="Times New Roman"/>
      <w:sz w:val="16"/>
      <w:szCs w:val="16"/>
    </w:rPr>
  </w:style>
  <w:style w:type="paragraph" w:styleId="Ingetavstnd">
    <w:name w:val="No Spacing"/>
    <w:uiPriority w:val="1"/>
    <w:qFormat/>
    <w:rsid w:val="00A5575C"/>
    <w:pPr>
      <w:spacing w:after="0" w:line="240" w:lineRule="auto"/>
      <w:jc w:val="both"/>
    </w:pPr>
    <w:rPr>
      <w:rFonts w:ascii="Times New Roman" w:hAnsi="Times New Roman"/>
    </w:rPr>
  </w:style>
  <w:style w:type="character" w:customStyle="1" w:styleId="SidhuvudChar">
    <w:name w:val="Sidhuvud Char"/>
    <w:basedOn w:val="Standardstycketeckensnitt"/>
    <w:link w:val="Sidhuvud"/>
    <w:uiPriority w:val="99"/>
    <w:rsid w:val="00A5575C"/>
    <w:rPr>
      <w:rFonts w:ascii="Times New Roman" w:hAnsi="Times New Roman"/>
    </w:rPr>
  </w:style>
  <w:style w:type="paragraph" w:styleId="Sidfot">
    <w:name w:val="footer"/>
    <w:basedOn w:val="Normal"/>
    <w:link w:val="SidfotChar"/>
    <w:uiPriority w:val="99"/>
    <w:unhideWhenUsed/>
    <w:rsid w:val="00A5575C"/>
    <w:pPr>
      <w:tabs>
        <w:tab w:val="center" w:pos="4703"/>
        <w:tab w:val="right" w:pos="9406"/>
      </w:tabs>
      <w:spacing w:line="240" w:lineRule="auto"/>
    </w:pPr>
  </w:style>
  <w:style w:type="character" w:customStyle="1" w:styleId="SidfotChar">
    <w:name w:val="Sidfot Char"/>
    <w:basedOn w:val="Standardstycketeckensnitt"/>
    <w:link w:val="Sidfot"/>
    <w:uiPriority w:val="99"/>
    <w:rsid w:val="00A5575C"/>
    <w:rPr>
      <w:rFonts w:ascii="Times New Roman" w:hAnsi="Times New Roman"/>
    </w:rPr>
  </w:style>
  <w:style w:type="table" w:styleId="Tabellrutnt">
    <w:name w:val="Table Grid"/>
    <w:basedOn w:val="Normaltabell"/>
    <w:uiPriority w:val="39"/>
    <w:rsid w:val="00E96331"/>
    <w:pPr>
      <w:spacing w:after="0" w:line="240" w:lineRule="auto"/>
      <w:jc w:val="both"/>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ndtextindrag">
    <w:name w:val="Grundtext indrag"/>
    <w:basedOn w:val="Normal"/>
    <w:uiPriority w:val="99"/>
    <w:rsid w:val="00E96331"/>
    <w:pPr>
      <w:widowControl w:val="0"/>
      <w:autoSpaceDE w:val="0"/>
      <w:autoSpaceDN w:val="0"/>
      <w:adjustRightInd w:val="0"/>
      <w:ind w:firstLine="227"/>
      <w:contextualSpacing/>
      <w:jc w:val="left"/>
      <w:textAlignment w:val="baseline"/>
    </w:pPr>
    <w:rPr>
      <w:rFonts w:ascii="AGaramondPro-Regular" w:eastAsiaTheme="minorEastAsia" w:hAnsi="AGaramondPro-Regular" w:cs="AGaramondPro-Regular"/>
      <w:color w:val="000000"/>
      <w:szCs w:val="20"/>
    </w:rPr>
  </w:style>
  <w:style w:type="paragraph" w:styleId="Beskrivning">
    <w:name w:val="caption"/>
    <w:basedOn w:val="Normal"/>
    <w:next w:val="Normal"/>
    <w:uiPriority w:val="35"/>
    <w:unhideWhenUsed/>
    <w:qFormat/>
    <w:rsid w:val="00E96331"/>
    <w:pPr>
      <w:spacing w:after="200" w:line="276" w:lineRule="auto"/>
    </w:pPr>
    <w:rPr>
      <w:rFonts w:asciiTheme="minorHAnsi" w:eastAsiaTheme="minorEastAsia" w:hAnsiTheme="minorHAnsi"/>
      <w:b/>
      <w:bCs/>
      <w:caps/>
      <w:sz w:val="16"/>
      <w:szCs w:val="18"/>
      <w:lang w:val="en-US"/>
    </w:rPr>
  </w:style>
  <w:style w:type="paragraph" w:customStyle="1" w:styleId="Grundtext">
    <w:name w:val="Grundtext"/>
    <w:basedOn w:val="Normal"/>
    <w:uiPriority w:val="99"/>
    <w:rsid w:val="00E96331"/>
    <w:pPr>
      <w:widowControl w:val="0"/>
      <w:autoSpaceDE w:val="0"/>
      <w:autoSpaceDN w:val="0"/>
      <w:adjustRightInd w:val="0"/>
      <w:contextualSpacing/>
      <w:jc w:val="left"/>
      <w:textAlignment w:val="baseline"/>
    </w:pPr>
    <w:rPr>
      <w:rFonts w:ascii="AGaramondPro-Regular" w:eastAsiaTheme="minorEastAsia" w:hAnsi="AGaramondPro-Regular" w:cs="AGaramondPro-Regular"/>
      <w:color w:val="000000"/>
      <w:szCs w:val="20"/>
    </w:rPr>
  </w:style>
  <w:style w:type="paragraph" w:customStyle="1" w:styleId="Rubrik2OK">
    <w:name w:val="Rubrik 2 OK"/>
    <w:basedOn w:val="Grundtext"/>
    <w:next w:val="Grundtext"/>
    <w:uiPriority w:val="99"/>
    <w:qFormat/>
    <w:rsid w:val="00E96331"/>
    <w:pPr>
      <w:keepNext/>
      <w:suppressAutoHyphens/>
      <w:spacing w:before="360" w:after="120" w:line="320" w:lineRule="atLeast"/>
    </w:pPr>
    <w:rPr>
      <w:rFonts w:ascii="AkzidenzGroteskBE-Regular" w:hAnsi="AkzidenzGroteskBE-Regular" w:cs="AkzidenzGroteskBE-Regular"/>
      <w:color w:val="CB0002"/>
      <w:spacing w:val="-3"/>
      <w:position w:val="4"/>
      <w:sz w:val="32"/>
      <w:szCs w:val="32"/>
    </w:rPr>
  </w:style>
  <w:style w:type="paragraph" w:customStyle="1" w:styleId="Ingressitext">
    <w:name w:val="Ingress i text"/>
    <w:basedOn w:val="Normal"/>
    <w:qFormat/>
    <w:rsid w:val="00862530"/>
    <w:pPr>
      <w:widowControl w:val="0"/>
      <w:autoSpaceDE w:val="0"/>
      <w:autoSpaceDN w:val="0"/>
      <w:adjustRightInd w:val="0"/>
      <w:spacing w:after="240"/>
      <w:jc w:val="left"/>
      <w:textAlignment w:val="baseline"/>
    </w:pPr>
    <w:rPr>
      <w:rFonts w:ascii="AkzidenzGroteskBE-Regular" w:eastAsiaTheme="minorEastAsia" w:hAnsi="AkzidenzGroteskBE-Regular" w:cs="AkzidenzGroteskBE-Regular"/>
      <w:color w:val="000000"/>
      <w:spacing w:val="-1"/>
      <w:sz w:val="25"/>
      <w:szCs w:val="25"/>
    </w:rPr>
  </w:style>
  <w:style w:type="character" w:styleId="Fotnotsreferens">
    <w:name w:val="footnote reference"/>
    <w:uiPriority w:val="99"/>
    <w:unhideWhenUsed/>
    <w:qFormat/>
    <w:rsid w:val="00862530"/>
    <w:rPr>
      <w:rFonts w:ascii="Akzidenz-Grotesk (R)" w:hAnsi="Akzidenz-Grotesk (R)"/>
      <w:b w:val="0"/>
      <w:bCs w:val="0"/>
      <w:i w:val="0"/>
      <w:iCs w:val="0"/>
      <w:sz w:val="15"/>
      <w:vertAlign w:val="baseline"/>
    </w:rPr>
  </w:style>
  <w:style w:type="paragraph" w:styleId="Fotnotstext">
    <w:name w:val="footnote text"/>
    <w:basedOn w:val="Normal"/>
    <w:link w:val="FotnotstextChar"/>
    <w:uiPriority w:val="99"/>
    <w:unhideWhenUsed/>
    <w:rsid w:val="00862530"/>
    <w:pPr>
      <w:spacing w:line="240" w:lineRule="auto"/>
    </w:pPr>
    <w:rPr>
      <w:rFonts w:asciiTheme="minorHAnsi" w:eastAsiaTheme="minorEastAsia" w:hAnsiTheme="minorHAnsi"/>
      <w:sz w:val="20"/>
      <w:szCs w:val="20"/>
      <w:lang w:val="en-US"/>
    </w:rPr>
  </w:style>
  <w:style w:type="character" w:customStyle="1" w:styleId="FotnotstextChar">
    <w:name w:val="Fotnotstext Char"/>
    <w:basedOn w:val="Standardstycketeckensnitt"/>
    <w:link w:val="Fotnotstext"/>
    <w:uiPriority w:val="99"/>
    <w:rsid w:val="00862530"/>
    <w:rPr>
      <w:rFonts w:eastAsiaTheme="minorEastAsia"/>
      <w:sz w:val="20"/>
      <w:szCs w:val="20"/>
      <w:lang w:val="en-US"/>
    </w:rPr>
  </w:style>
  <w:style w:type="character" w:styleId="AnvndHyperlnk">
    <w:name w:val="FollowedHyperlink"/>
    <w:basedOn w:val="Standardstycketeckensnitt"/>
    <w:uiPriority w:val="99"/>
    <w:semiHidden/>
    <w:unhideWhenUsed/>
    <w:rsid w:val="00510064"/>
    <w:rPr>
      <w:color w:val="954F72" w:themeColor="followedHyperlink"/>
      <w:u w:val="single"/>
    </w:rPr>
  </w:style>
  <w:style w:type="character" w:customStyle="1" w:styleId="Rubrik3Char">
    <w:name w:val="Rubrik 3 Char"/>
    <w:basedOn w:val="Standardstycketeckensnitt"/>
    <w:link w:val="Rubrik3"/>
    <w:uiPriority w:val="9"/>
    <w:rsid w:val="00E81B4B"/>
    <w:rPr>
      <w:rFonts w:asciiTheme="majorHAnsi" w:eastAsiaTheme="majorEastAsia" w:hAnsiTheme="majorHAnsi" w:cstheme="majorBidi"/>
      <w:color w:val="000000" w:themeColor="text1"/>
      <w:sz w:val="24"/>
      <w:szCs w:val="24"/>
    </w:rPr>
  </w:style>
  <w:style w:type="paragraph" w:styleId="Innehll3">
    <w:name w:val="toc 3"/>
    <w:basedOn w:val="Normal"/>
    <w:next w:val="Normal"/>
    <w:autoRedefine/>
    <w:uiPriority w:val="39"/>
    <w:unhideWhenUsed/>
    <w:rsid w:val="00E81B4B"/>
    <w:pPr>
      <w:spacing w:after="100"/>
      <w:ind w:left="440"/>
    </w:pPr>
  </w:style>
  <w:style w:type="paragraph" w:styleId="Ballongtext">
    <w:name w:val="Balloon Text"/>
    <w:basedOn w:val="Normal"/>
    <w:link w:val="BallongtextChar"/>
    <w:uiPriority w:val="99"/>
    <w:semiHidden/>
    <w:unhideWhenUsed/>
    <w:rsid w:val="005532F9"/>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32F9"/>
    <w:rPr>
      <w:rFonts w:ascii="Segoe UI" w:hAnsi="Segoe UI" w:cs="Segoe UI"/>
      <w:sz w:val="18"/>
      <w:szCs w:val="18"/>
    </w:rPr>
  </w:style>
  <w:style w:type="character" w:styleId="Kommentarsreferens">
    <w:name w:val="annotation reference"/>
    <w:basedOn w:val="Standardstycketeckensnitt"/>
    <w:uiPriority w:val="99"/>
    <w:semiHidden/>
    <w:unhideWhenUsed/>
    <w:rsid w:val="00532107"/>
    <w:rPr>
      <w:sz w:val="16"/>
      <w:szCs w:val="16"/>
    </w:rPr>
  </w:style>
  <w:style w:type="paragraph" w:styleId="Kommentarer">
    <w:name w:val="annotation text"/>
    <w:basedOn w:val="Normal"/>
    <w:link w:val="KommentarerChar"/>
    <w:uiPriority w:val="99"/>
    <w:unhideWhenUsed/>
    <w:rsid w:val="00532107"/>
    <w:pPr>
      <w:spacing w:line="240" w:lineRule="auto"/>
    </w:pPr>
    <w:rPr>
      <w:sz w:val="20"/>
      <w:szCs w:val="20"/>
    </w:rPr>
  </w:style>
  <w:style w:type="character" w:customStyle="1" w:styleId="KommentarerChar">
    <w:name w:val="Kommentarer Char"/>
    <w:basedOn w:val="Standardstycketeckensnitt"/>
    <w:link w:val="Kommentarer"/>
    <w:uiPriority w:val="99"/>
    <w:rsid w:val="00532107"/>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532107"/>
    <w:rPr>
      <w:b/>
      <w:bCs/>
    </w:rPr>
  </w:style>
  <w:style w:type="character" w:customStyle="1" w:styleId="KommentarsmneChar">
    <w:name w:val="Kommentarsämne Char"/>
    <w:basedOn w:val="KommentarerChar"/>
    <w:link w:val="Kommentarsmne"/>
    <w:uiPriority w:val="99"/>
    <w:semiHidden/>
    <w:rsid w:val="00532107"/>
    <w:rPr>
      <w:rFonts w:ascii="Times New Roman" w:hAnsi="Times New Roman"/>
      <w:b/>
      <w:bCs/>
      <w:sz w:val="20"/>
      <w:szCs w:val="20"/>
    </w:rPr>
  </w:style>
  <w:style w:type="character" w:styleId="Slutkommentarsreferens">
    <w:name w:val="endnote reference"/>
    <w:basedOn w:val="Standardstycketeckensnitt"/>
    <w:uiPriority w:val="99"/>
    <w:semiHidden/>
    <w:unhideWhenUsed/>
    <w:rsid w:val="003A2391"/>
    <w:rPr>
      <w:vertAlign w:val="superscript"/>
    </w:rPr>
  </w:style>
  <w:style w:type="paragraph" w:styleId="Litteraturfrteckning">
    <w:name w:val="Bibliography"/>
    <w:basedOn w:val="Normal"/>
    <w:next w:val="Normal"/>
    <w:uiPriority w:val="37"/>
    <w:unhideWhenUsed/>
    <w:rsid w:val="003A2391"/>
    <w:pPr>
      <w:spacing w:line="480" w:lineRule="atLeast"/>
      <w:ind w:left="720" w:hanging="720"/>
    </w:pPr>
  </w:style>
  <w:style w:type="table" w:styleId="Ljuslista">
    <w:name w:val="Light List"/>
    <w:basedOn w:val="Normaltabell"/>
    <w:uiPriority w:val="61"/>
    <w:rsid w:val="00E53B51"/>
    <w:pPr>
      <w:spacing w:after="0" w:line="240" w:lineRule="auto"/>
    </w:pPr>
    <w:rPr>
      <w:rFonts w:eastAsiaTheme="minorEastAsia"/>
      <w:lang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95983">
      <w:bodyDiv w:val="1"/>
      <w:marLeft w:val="0"/>
      <w:marRight w:val="0"/>
      <w:marTop w:val="0"/>
      <w:marBottom w:val="0"/>
      <w:divBdr>
        <w:top w:val="none" w:sz="0" w:space="0" w:color="auto"/>
        <w:left w:val="none" w:sz="0" w:space="0" w:color="auto"/>
        <w:bottom w:val="none" w:sz="0" w:space="0" w:color="auto"/>
        <w:right w:val="none" w:sz="0" w:space="0" w:color="auto"/>
      </w:divBdr>
    </w:div>
    <w:div w:id="404374004">
      <w:bodyDiv w:val="1"/>
      <w:marLeft w:val="0"/>
      <w:marRight w:val="0"/>
      <w:marTop w:val="0"/>
      <w:marBottom w:val="0"/>
      <w:divBdr>
        <w:top w:val="none" w:sz="0" w:space="0" w:color="auto"/>
        <w:left w:val="none" w:sz="0" w:space="0" w:color="auto"/>
        <w:bottom w:val="none" w:sz="0" w:space="0" w:color="auto"/>
        <w:right w:val="none" w:sz="0" w:space="0" w:color="auto"/>
      </w:divBdr>
    </w:div>
    <w:div w:id="459735949">
      <w:bodyDiv w:val="1"/>
      <w:marLeft w:val="0"/>
      <w:marRight w:val="0"/>
      <w:marTop w:val="0"/>
      <w:marBottom w:val="0"/>
      <w:divBdr>
        <w:top w:val="none" w:sz="0" w:space="0" w:color="auto"/>
        <w:left w:val="none" w:sz="0" w:space="0" w:color="auto"/>
        <w:bottom w:val="none" w:sz="0" w:space="0" w:color="auto"/>
        <w:right w:val="none" w:sz="0" w:space="0" w:color="auto"/>
      </w:divBdr>
    </w:div>
    <w:div w:id="523442106">
      <w:bodyDiv w:val="1"/>
      <w:marLeft w:val="0"/>
      <w:marRight w:val="0"/>
      <w:marTop w:val="0"/>
      <w:marBottom w:val="0"/>
      <w:divBdr>
        <w:top w:val="none" w:sz="0" w:space="0" w:color="auto"/>
        <w:left w:val="none" w:sz="0" w:space="0" w:color="auto"/>
        <w:bottom w:val="none" w:sz="0" w:space="0" w:color="auto"/>
        <w:right w:val="none" w:sz="0" w:space="0" w:color="auto"/>
      </w:divBdr>
    </w:div>
    <w:div w:id="534394405">
      <w:bodyDiv w:val="1"/>
      <w:marLeft w:val="0"/>
      <w:marRight w:val="0"/>
      <w:marTop w:val="0"/>
      <w:marBottom w:val="0"/>
      <w:divBdr>
        <w:top w:val="none" w:sz="0" w:space="0" w:color="auto"/>
        <w:left w:val="none" w:sz="0" w:space="0" w:color="auto"/>
        <w:bottom w:val="none" w:sz="0" w:space="0" w:color="auto"/>
        <w:right w:val="none" w:sz="0" w:space="0" w:color="auto"/>
      </w:divBdr>
    </w:div>
    <w:div w:id="569116929">
      <w:bodyDiv w:val="1"/>
      <w:marLeft w:val="0"/>
      <w:marRight w:val="0"/>
      <w:marTop w:val="0"/>
      <w:marBottom w:val="0"/>
      <w:divBdr>
        <w:top w:val="none" w:sz="0" w:space="0" w:color="auto"/>
        <w:left w:val="none" w:sz="0" w:space="0" w:color="auto"/>
        <w:bottom w:val="none" w:sz="0" w:space="0" w:color="auto"/>
        <w:right w:val="none" w:sz="0" w:space="0" w:color="auto"/>
      </w:divBdr>
    </w:div>
    <w:div w:id="587275198">
      <w:bodyDiv w:val="1"/>
      <w:marLeft w:val="0"/>
      <w:marRight w:val="0"/>
      <w:marTop w:val="0"/>
      <w:marBottom w:val="0"/>
      <w:divBdr>
        <w:top w:val="none" w:sz="0" w:space="0" w:color="auto"/>
        <w:left w:val="none" w:sz="0" w:space="0" w:color="auto"/>
        <w:bottom w:val="none" w:sz="0" w:space="0" w:color="auto"/>
        <w:right w:val="none" w:sz="0" w:space="0" w:color="auto"/>
      </w:divBdr>
    </w:div>
    <w:div w:id="692610980">
      <w:bodyDiv w:val="1"/>
      <w:marLeft w:val="0"/>
      <w:marRight w:val="0"/>
      <w:marTop w:val="0"/>
      <w:marBottom w:val="0"/>
      <w:divBdr>
        <w:top w:val="none" w:sz="0" w:space="0" w:color="auto"/>
        <w:left w:val="none" w:sz="0" w:space="0" w:color="auto"/>
        <w:bottom w:val="none" w:sz="0" w:space="0" w:color="auto"/>
        <w:right w:val="none" w:sz="0" w:space="0" w:color="auto"/>
      </w:divBdr>
    </w:div>
    <w:div w:id="706107372">
      <w:bodyDiv w:val="1"/>
      <w:marLeft w:val="0"/>
      <w:marRight w:val="0"/>
      <w:marTop w:val="0"/>
      <w:marBottom w:val="0"/>
      <w:divBdr>
        <w:top w:val="none" w:sz="0" w:space="0" w:color="auto"/>
        <w:left w:val="none" w:sz="0" w:space="0" w:color="auto"/>
        <w:bottom w:val="none" w:sz="0" w:space="0" w:color="auto"/>
        <w:right w:val="none" w:sz="0" w:space="0" w:color="auto"/>
      </w:divBdr>
    </w:div>
    <w:div w:id="810487507">
      <w:bodyDiv w:val="1"/>
      <w:marLeft w:val="0"/>
      <w:marRight w:val="0"/>
      <w:marTop w:val="0"/>
      <w:marBottom w:val="0"/>
      <w:divBdr>
        <w:top w:val="none" w:sz="0" w:space="0" w:color="auto"/>
        <w:left w:val="none" w:sz="0" w:space="0" w:color="auto"/>
        <w:bottom w:val="none" w:sz="0" w:space="0" w:color="auto"/>
        <w:right w:val="none" w:sz="0" w:space="0" w:color="auto"/>
      </w:divBdr>
    </w:div>
    <w:div w:id="1078403572">
      <w:bodyDiv w:val="1"/>
      <w:marLeft w:val="0"/>
      <w:marRight w:val="0"/>
      <w:marTop w:val="0"/>
      <w:marBottom w:val="0"/>
      <w:divBdr>
        <w:top w:val="none" w:sz="0" w:space="0" w:color="auto"/>
        <w:left w:val="none" w:sz="0" w:space="0" w:color="auto"/>
        <w:bottom w:val="none" w:sz="0" w:space="0" w:color="auto"/>
        <w:right w:val="none" w:sz="0" w:space="0" w:color="auto"/>
      </w:divBdr>
    </w:div>
    <w:div w:id="1102265321">
      <w:bodyDiv w:val="1"/>
      <w:marLeft w:val="0"/>
      <w:marRight w:val="0"/>
      <w:marTop w:val="0"/>
      <w:marBottom w:val="0"/>
      <w:divBdr>
        <w:top w:val="none" w:sz="0" w:space="0" w:color="auto"/>
        <w:left w:val="none" w:sz="0" w:space="0" w:color="auto"/>
        <w:bottom w:val="none" w:sz="0" w:space="0" w:color="auto"/>
        <w:right w:val="none" w:sz="0" w:space="0" w:color="auto"/>
      </w:divBdr>
    </w:div>
    <w:div w:id="1328745191">
      <w:bodyDiv w:val="1"/>
      <w:marLeft w:val="0"/>
      <w:marRight w:val="0"/>
      <w:marTop w:val="0"/>
      <w:marBottom w:val="0"/>
      <w:divBdr>
        <w:top w:val="none" w:sz="0" w:space="0" w:color="auto"/>
        <w:left w:val="none" w:sz="0" w:space="0" w:color="auto"/>
        <w:bottom w:val="none" w:sz="0" w:space="0" w:color="auto"/>
        <w:right w:val="none" w:sz="0" w:space="0" w:color="auto"/>
      </w:divBdr>
    </w:div>
    <w:div w:id="1336105955">
      <w:bodyDiv w:val="1"/>
      <w:marLeft w:val="0"/>
      <w:marRight w:val="0"/>
      <w:marTop w:val="0"/>
      <w:marBottom w:val="0"/>
      <w:divBdr>
        <w:top w:val="none" w:sz="0" w:space="0" w:color="auto"/>
        <w:left w:val="none" w:sz="0" w:space="0" w:color="auto"/>
        <w:bottom w:val="none" w:sz="0" w:space="0" w:color="auto"/>
        <w:right w:val="none" w:sz="0" w:space="0" w:color="auto"/>
      </w:divBdr>
    </w:div>
    <w:div w:id="1347294956">
      <w:bodyDiv w:val="1"/>
      <w:marLeft w:val="0"/>
      <w:marRight w:val="0"/>
      <w:marTop w:val="0"/>
      <w:marBottom w:val="0"/>
      <w:divBdr>
        <w:top w:val="none" w:sz="0" w:space="0" w:color="auto"/>
        <w:left w:val="none" w:sz="0" w:space="0" w:color="auto"/>
        <w:bottom w:val="none" w:sz="0" w:space="0" w:color="auto"/>
        <w:right w:val="none" w:sz="0" w:space="0" w:color="auto"/>
      </w:divBdr>
    </w:div>
    <w:div w:id="1352872717">
      <w:bodyDiv w:val="1"/>
      <w:marLeft w:val="0"/>
      <w:marRight w:val="0"/>
      <w:marTop w:val="0"/>
      <w:marBottom w:val="0"/>
      <w:divBdr>
        <w:top w:val="none" w:sz="0" w:space="0" w:color="auto"/>
        <w:left w:val="none" w:sz="0" w:space="0" w:color="auto"/>
        <w:bottom w:val="none" w:sz="0" w:space="0" w:color="auto"/>
        <w:right w:val="none" w:sz="0" w:space="0" w:color="auto"/>
      </w:divBdr>
    </w:div>
    <w:div w:id="1570111507">
      <w:bodyDiv w:val="1"/>
      <w:marLeft w:val="0"/>
      <w:marRight w:val="0"/>
      <w:marTop w:val="0"/>
      <w:marBottom w:val="0"/>
      <w:divBdr>
        <w:top w:val="none" w:sz="0" w:space="0" w:color="auto"/>
        <w:left w:val="none" w:sz="0" w:space="0" w:color="auto"/>
        <w:bottom w:val="none" w:sz="0" w:space="0" w:color="auto"/>
        <w:right w:val="none" w:sz="0" w:space="0" w:color="auto"/>
      </w:divBdr>
    </w:div>
    <w:div w:id="1583829890">
      <w:bodyDiv w:val="1"/>
      <w:marLeft w:val="0"/>
      <w:marRight w:val="0"/>
      <w:marTop w:val="0"/>
      <w:marBottom w:val="0"/>
      <w:divBdr>
        <w:top w:val="none" w:sz="0" w:space="0" w:color="auto"/>
        <w:left w:val="none" w:sz="0" w:space="0" w:color="auto"/>
        <w:bottom w:val="none" w:sz="0" w:space="0" w:color="auto"/>
        <w:right w:val="none" w:sz="0" w:space="0" w:color="auto"/>
      </w:divBdr>
    </w:div>
    <w:div w:id="2012443952">
      <w:bodyDiv w:val="1"/>
      <w:marLeft w:val="0"/>
      <w:marRight w:val="0"/>
      <w:marTop w:val="0"/>
      <w:marBottom w:val="0"/>
      <w:divBdr>
        <w:top w:val="none" w:sz="0" w:space="0" w:color="auto"/>
        <w:left w:val="none" w:sz="0" w:space="0" w:color="auto"/>
        <w:bottom w:val="none" w:sz="0" w:space="0" w:color="auto"/>
        <w:right w:val="none" w:sz="0" w:space="0" w:color="auto"/>
      </w:divBdr>
    </w:div>
    <w:div w:id="2017927181">
      <w:bodyDiv w:val="1"/>
      <w:marLeft w:val="0"/>
      <w:marRight w:val="0"/>
      <w:marTop w:val="0"/>
      <w:marBottom w:val="0"/>
      <w:divBdr>
        <w:top w:val="none" w:sz="0" w:space="0" w:color="auto"/>
        <w:left w:val="none" w:sz="0" w:space="0" w:color="auto"/>
        <w:bottom w:val="none" w:sz="0" w:space="0" w:color="auto"/>
        <w:right w:val="none" w:sz="0" w:space="0" w:color="auto"/>
      </w:divBdr>
    </w:div>
    <w:div w:id="2050448091">
      <w:bodyDiv w:val="1"/>
      <w:marLeft w:val="0"/>
      <w:marRight w:val="0"/>
      <w:marTop w:val="0"/>
      <w:marBottom w:val="0"/>
      <w:divBdr>
        <w:top w:val="none" w:sz="0" w:space="0" w:color="auto"/>
        <w:left w:val="none" w:sz="0" w:space="0" w:color="auto"/>
        <w:bottom w:val="none" w:sz="0" w:space="0" w:color="auto"/>
        <w:right w:val="none" w:sz="0" w:space="0" w:color="auto"/>
      </w:divBdr>
    </w:div>
    <w:div w:id="208301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hyresfakta.nu/hemmaboende/"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Ilse\Downloads\2015%20G&#246;teborgsregionen%20tabel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lse\Dropbox\dokdiv\UngaV\Gbg\dataUngaVGB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lse\Dropbox\dokdiv\UngaV\Gbg\dataUngaVGB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lse\Dropbox\dokdiv\UngaV\Gbg\dataUngaVGB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lse\Dropbox\dokdiv\UngaV\regression\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hb</c:v>
          </c:tx>
          <c:spPr>
            <a:ln w="952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'[2015 Göteborgsregionen tabeller.xlsx]Gbgregion'!$B$9:$I$9</c:f>
              <c:numCache>
                <c:formatCode>General</c:formatCode>
                <c:ptCount val="8"/>
                <c:pt idx="0">
                  <c:v>2003</c:v>
                </c:pt>
                <c:pt idx="1">
                  <c:v>2005</c:v>
                </c:pt>
                <c:pt idx="2">
                  <c:v>2007</c:v>
                </c:pt>
                <c:pt idx="3">
                  <c:v>2009</c:v>
                </c:pt>
                <c:pt idx="4">
                  <c:v>2011</c:v>
                </c:pt>
                <c:pt idx="5">
                  <c:v>2013</c:v>
                </c:pt>
                <c:pt idx="6">
                  <c:v>2015</c:v>
                </c:pt>
                <c:pt idx="7">
                  <c:v>2017</c:v>
                </c:pt>
              </c:numCache>
            </c:numRef>
          </c:cat>
          <c:val>
            <c:numRef>
              <c:f>'[2015 Göteborgsregionen tabeller.xlsx]Gbgregion'!$B$11:$I$11</c:f>
              <c:numCache>
                <c:formatCode>0.0%</c:formatCode>
                <c:ptCount val="8"/>
                <c:pt idx="0">
                  <c:v>0.19320000000000001</c:v>
                </c:pt>
                <c:pt idx="1">
                  <c:v>0.20649999999999999</c:v>
                </c:pt>
                <c:pt idx="2">
                  <c:v>0.19149999999999998</c:v>
                </c:pt>
                <c:pt idx="3">
                  <c:v>0.2263</c:v>
                </c:pt>
                <c:pt idx="4">
                  <c:v>0.2162</c:v>
                </c:pt>
                <c:pt idx="5">
                  <c:v>0.23800000000000002</c:v>
                </c:pt>
                <c:pt idx="6">
                  <c:v>0.21059999999999998</c:v>
                </c:pt>
                <c:pt idx="7">
                  <c:v>0.253</c:v>
                </c:pt>
              </c:numCache>
            </c:numRef>
          </c:val>
          <c:smooth val="0"/>
          <c:extLst xmlns:c16r2="http://schemas.microsoft.com/office/drawing/2015/06/chart">
            <c:ext xmlns:c16="http://schemas.microsoft.com/office/drawing/2014/chart" uri="{C3380CC4-5D6E-409C-BE32-E72D297353CC}">
              <c16:uniqueId val="{00000000-1F71-44F8-8906-BF67473A67FA}"/>
            </c:ext>
          </c:extLst>
        </c:ser>
        <c:dLbls>
          <c:showLegendKey val="0"/>
          <c:showVal val="0"/>
          <c:showCatName val="0"/>
          <c:showSerName val="0"/>
          <c:showPercent val="0"/>
          <c:showBubbleSize val="0"/>
        </c:dLbls>
        <c:marker val="1"/>
        <c:smooth val="0"/>
        <c:axId val="191533440"/>
        <c:axId val="191534976"/>
      </c:lineChart>
      <c:catAx>
        <c:axId val="191533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91534976"/>
        <c:crosses val="autoZero"/>
        <c:auto val="1"/>
        <c:lblAlgn val="ctr"/>
        <c:lblOffset val="100"/>
        <c:noMultiLvlLbl val="0"/>
      </c:catAx>
      <c:valAx>
        <c:axId val="191534976"/>
        <c:scaling>
          <c:orientation val="minMax"/>
          <c:max val="0.27"/>
          <c:min val="0.180000000000000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91533440"/>
        <c:crosses val="autoZero"/>
        <c:crossBetween val="between"/>
        <c:majorUnit val="3.0000000000000006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Desc3!$T$11:$T$15</c:f>
              <c:strCache>
                <c:ptCount val="5"/>
                <c:pt idx="0">
                  <c:v>Studentbostad</c:v>
                </c:pt>
                <c:pt idx="1">
                  <c:v>Hyresrätt</c:v>
                </c:pt>
                <c:pt idx="2">
                  <c:v>Bostadsrätt</c:v>
                </c:pt>
                <c:pt idx="3">
                  <c:v>Eget hus</c:v>
                </c:pt>
                <c:pt idx="4">
                  <c:v>Annat</c:v>
                </c:pt>
              </c:strCache>
            </c:strRef>
          </c:cat>
          <c:val>
            <c:numRef>
              <c:f>Desc3!$U$11:$U$15</c:f>
              <c:numCache>
                <c:formatCode>0.0%</c:formatCode>
                <c:ptCount val="5"/>
                <c:pt idx="0">
                  <c:v>3.9016175279469621E-2</c:v>
                </c:pt>
                <c:pt idx="1">
                  <c:v>0.3209624475607446</c:v>
                </c:pt>
                <c:pt idx="2">
                  <c:v>0.40716473128678943</c:v>
                </c:pt>
                <c:pt idx="3">
                  <c:v>0.20462887701007682</c:v>
                </c:pt>
                <c:pt idx="4">
                  <c:v>2.8227768862919101E-2</c:v>
                </c:pt>
              </c:numCache>
            </c:numRef>
          </c:val>
          <c:extLst xmlns:c16r2="http://schemas.microsoft.com/office/drawing/2015/06/chart">
            <c:ext xmlns:c16="http://schemas.microsoft.com/office/drawing/2014/chart" uri="{C3380CC4-5D6E-409C-BE32-E72D297353CC}">
              <c16:uniqueId val="{00000000-ADF9-4226-88A1-FFBA243D9700}"/>
            </c:ext>
          </c:extLst>
        </c:ser>
        <c:dLbls>
          <c:showLegendKey val="0"/>
          <c:showVal val="0"/>
          <c:showCatName val="0"/>
          <c:showSerName val="0"/>
          <c:showPercent val="0"/>
          <c:showBubbleSize val="0"/>
        </c:dLbls>
        <c:gapWidth val="219"/>
        <c:overlap val="-27"/>
        <c:axId val="191543168"/>
        <c:axId val="191544704"/>
      </c:barChart>
      <c:catAx>
        <c:axId val="1915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91544704"/>
        <c:crosses val="autoZero"/>
        <c:auto val="1"/>
        <c:lblAlgn val="ctr"/>
        <c:lblOffset val="100"/>
        <c:noMultiLvlLbl val="0"/>
      </c:catAx>
      <c:valAx>
        <c:axId val="191544704"/>
        <c:scaling>
          <c:orientation val="minMax"/>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9154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Desc5!$AA$13:$AA$19</c:f>
              <c:strCache>
                <c:ptCount val="7"/>
                <c:pt idx="0">
                  <c:v>Hyresrätt</c:v>
                </c:pt>
                <c:pt idx="1">
                  <c:v>Bostadsrätt</c:v>
                </c:pt>
                <c:pt idx="2">
                  <c:v>Eget hus</c:v>
                </c:pt>
                <c:pt idx="3">
                  <c:v>Studenbostad</c:v>
                </c:pt>
                <c:pt idx="4">
                  <c:v>2a/3e hand</c:v>
                </c:pt>
                <c:pt idx="5">
                  <c:v>Inneboende</c:v>
                </c:pt>
                <c:pt idx="6">
                  <c:v>Annat</c:v>
                </c:pt>
              </c:strCache>
            </c:strRef>
          </c:cat>
          <c:val>
            <c:numRef>
              <c:f>Desc5!$AB$13:$AB$19</c:f>
              <c:numCache>
                <c:formatCode>0.0%</c:formatCode>
                <c:ptCount val="7"/>
                <c:pt idx="0">
                  <c:v>0.35259485635867238</c:v>
                </c:pt>
                <c:pt idx="1">
                  <c:v>0.20525276873332607</c:v>
                </c:pt>
                <c:pt idx="2">
                  <c:v>2.7796156658696048E-2</c:v>
                </c:pt>
                <c:pt idx="3">
                  <c:v>0.14977287870800296</c:v>
                </c:pt>
                <c:pt idx="4">
                  <c:v>0.13037576215694724</c:v>
                </c:pt>
                <c:pt idx="5">
                  <c:v>0.12179839192528159</c:v>
                </c:pt>
                <c:pt idx="6">
                  <c:v>1.2409185459074979E-2</c:v>
                </c:pt>
              </c:numCache>
            </c:numRef>
          </c:val>
          <c:extLst xmlns:c16r2="http://schemas.microsoft.com/office/drawing/2015/06/chart">
            <c:ext xmlns:c16="http://schemas.microsoft.com/office/drawing/2014/chart" uri="{C3380CC4-5D6E-409C-BE32-E72D297353CC}">
              <c16:uniqueId val="{00000000-04FD-4486-9A44-40EF1B3C124B}"/>
            </c:ext>
          </c:extLst>
        </c:ser>
        <c:dLbls>
          <c:dLblPos val="outEnd"/>
          <c:showLegendKey val="0"/>
          <c:showVal val="1"/>
          <c:showCatName val="0"/>
          <c:showSerName val="0"/>
          <c:showPercent val="0"/>
          <c:showBubbleSize val="0"/>
        </c:dLbls>
        <c:gapWidth val="219"/>
        <c:overlap val="-27"/>
        <c:axId val="171386752"/>
        <c:axId val="171426560"/>
      </c:barChart>
      <c:catAx>
        <c:axId val="1713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1426560"/>
        <c:crosses val="autoZero"/>
        <c:auto val="1"/>
        <c:lblAlgn val="ctr"/>
        <c:lblOffset val="100"/>
        <c:noMultiLvlLbl val="0"/>
      </c:catAx>
      <c:valAx>
        <c:axId val="171426560"/>
        <c:scaling>
          <c:orientation val="minMax"/>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1386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07845521119269E-2"/>
          <c:y val="1.3134140443520629E-2"/>
          <c:w val="0.85099702706039915"/>
          <c:h val="0.88323081177016582"/>
        </c:manualLayout>
      </c:layout>
      <c:scatterChart>
        <c:scatterStyle val="lineMarker"/>
        <c:varyColors val="0"/>
        <c:ser>
          <c:idx val="0"/>
          <c:order val="0"/>
          <c:tx>
            <c:strRef>
              <c:f>Histogram!$X$17</c:f>
              <c:strCache>
                <c:ptCount val="1"/>
                <c:pt idx="0">
                  <c:v>Observerad fördelning, inkomster efter boendekostnader</c:v>
                </c:pt>
              </c:strCache>
            </c:strRef>
          </c:tx>
          <c:spPr>
            <a:ln w="12700">
              <a:solidFill>
                <a:srgbClr val="C00000"/>
              </a:solidFill>
              <a:prstDash val="solid"/>
            </a:ln>
            <a:effectLst/>
          </c:spPr>
          <c:marker>
            <c:spPr>
              <a:noFill/>
              <a:ln w="6350">
                <a:noFill/>
              </a:ln>
            </c:spPr>
          </c:marker>
          <c:xVal>
            <c:numRef>
              <c:f>Histogram_HID1!$G$1:$G$1426</c:f>
              <c:numCache>
                <c:formatCode>0.000</c:formatCode>
                <c:ptCount val="14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250</c:v>
                </c:pt>
                <c:pt idx="41">
                  <c:v>250</c:v>
                </c:pt>
                <c:pt idx="42">
                  <c:v>500</c:v>
                </c:pt>
                <c:pt idx="43">
                  <c:v>500</c:v>
                </c:pt>
                <c:pt idx="44">
                  <c:v>500</c:v>
                </c:pt>
                <c:pt idx="45">
                  <c:v>500</c:v>
                </c:pt>
                <c:pt idx="46">
                  <c:v>800</c:v>
                </c:pt>
                <c:pt idx="47">
                  <c:v>800</c:v>
                </c:pt>
                <c:pt idx="48">
                  <c:v>1000</c:v>
                </c:pt>
                <c:pt idx="49">
                  <c:v>1000</c:v>
                </c:pt>
                <c:pt idx="50">
                  <c:v>1000</c:v>
                </c:pt>
                <c:pt idx="51">
                  <c:v>1000</c:v>
                </c:pt>
                <c:pt idx="52">
                  <c:v>1000</c:v>
                </c:pt>
                <c:pt idx="53">
                  <c:v>1000</c:v>
                </c:pt>
                <c:pt idx="54">
                  <c:v>1000</c:v>
                </c:pt>
                <c:pt idx="55">
                  <c:v>1000</c:v>
                </c:pt>
                <c:pt idx="56">
                  <c:v>1000</c:v>
                </c:pt>
                <c:pt idx="57">
                  <c:v>1000</c:v>
                </c:pt>
                <c:pt idx="58">
                  <c:v>1200</c:v>
                </c:pt>
                <c:pt idx="59">
                  <c:v>1200</c:v>
                </c:pt>
                <c:pt idx="60">
                  <c:v>1500</c:v>
                </c:pt>
                <c:pt idx="61">
                  <c:v>1500</c:v>
                </c:pt>
                <c:pt idx="62">
                  <c:v>1500</c:v>
                </c:pt>
                <c:pt idx="63">
                  <c:v>1500</c:v>
                </c:pt>
                <c:pt idx="64">
                  <c:v>1500</c:v>
                </c:pt>
                <c:pt idx="65">
                  <c:v>1500</c:v>
                </c:pt>
                <c:pt idx="66">
                  <c:v>2000</c:v>
                </c:pt>
                <c:pt idx="67">
                  <c:v>2000</c:v>
                </c:pt>
                <c:pt idx="68">
                  <c:v>2000</c:v>
                </c:pt>
                <c:pt idx="69">
                  <c:v>2000</c:v>
                </c:pt>
                <c:pt idx="70">
                  <c:v>2000</c:v>
                </c:pt>
                <c:pt idx="71">
                  <c:v>2000</c:v>
                </c:pt>
                <c:pt idx="72">
                  <c:v>2000</c:v>
                </c:pt>
                <c:pt idx="73">
                  <c:v>2000</c:v>
                </c:pt>
                <c:pt idx="74">
                  <c:v>2000</c:v>
                </c:pt>
                <c:pt idx="75">
                  <c:v>2000</c:v>
                </c:pt>
                <c:pt idx="76">
                  <c:v>2000</c:v>
                </c:pt>
                <c:pt idx="77">
                  <c:v>2000</c:v>
                </c:pt>
                <c:pt idx="78">
                  <c:v>2000</c:v>
                </c:pt>
                <c:pt idx="79">
                  <c:v>2000</c:v>
                </c:pt>
                <c:pt idx="80">
                  <c:v>2000</c:v>
                </c:pt>
                <c:pt idx="81">
                  <c:v>2000</c:v>
                </c:pt>
                <c:pt idx="82">
                  <c:v>2000</c:v>
                </c:pt>
                <c:pt idx="83">
                  <c:v>2000</c:v>
                </c:pt>
                <c:pt idx="84">
                  <c:v>2000</c:v>
                </c:pt>
                <c:pt idx="85">
                  <c:v>2000</c:v>
                </c:pt>
                <c:pt idx="86">
                  <c:v>2000</c:v>
                </c:pt>
                <c:pt idx="87">
                  <c:v>2000</c:v>
                </c:pt>
                <c:pt idx="88">
                  <c:v>2000</c:v>
                </c:pt>
                <c:pt idx="89">
                  <c:v>2000</c:v>
                </c:pt>
                <c:pt idx="90">
                  <c:v>2000</c:v>
                </c:pt>
                <c:pt idx="91">
                  <c:v>2000</c:v>
                </c:pt>
                <c:pt idx="92">
                  <c:v>2000</c:v>
                </c:pt>
                <c:pt idx="93">
                  <c:v>2000</c:v>
                </c:pt>
                <c:pt idx="94">
                  <c:v>2000</c:v>
                </c:pt>
                <c:pt idx="95">
                  <c:v>2000</c:v>
                </c:pt>
                <c:pt idx="96">
                  <c:v>2000</c:v>
                </c:pt>
                <c:pt idx="97">
                  <c:v>2000</c:v>
                </c:pt>
                <c:pt idx="98">
                  <c:v>2000</c:v>
                </c:pt>
                <c:pt idx="99">
                  <c:v>2000</c:v>
                </c:pt>
                <c:pt idx="100">
                  <c:v>2000</c:v>
                </c:pt>
                <c:pt idx="101">
                  <c:v>2000</c:v>
                </c:pt>
                <c:pt idx="102">
                  <c:v>2000</c:v>
                </c:pt>
                <c:pt idx="103">
                  <c:v>2000</c:v>
                </c:pt>
                <c:pt idx="104">
                  <c:v>2000</c:v>
                </c:pt>
                <c:pt idx="105">
                  <c:v>2000</c:v>
                </c:pt>
                <c:pt idx="106">
                  <c:v>2000</c:v>
                </c:pt>
                <c:pt idx="107">
                  <c:v>2000</c:v>
                </c:pt>
                <c:pt idx="108">
                  <c:v>2000</c:v>
                </c:pt>
                <c:pt idx="109">
                  <c:v>2000</c:v>
                </c:pt>
                <c:pt idx="110">
                  <c:v>2000</c:v>
                </c:pt>
                <c:pt idx="111">
                  <c:v>2000</c:v>
                </c:pt>
                <c:pt idx="112">
                  <c:v>2000</c:v>
                </c:pt>
                <c:pt idx="113">
                  <c:v>2000</c:v>
                </c:pt>
                <c:pt idx="114">
                  <c:v>2000</c:v>
                </c:pt>
                <c:pt idx="115">
                  <c:v>2000</c:v>
                </c:pt>
                <c:pt idx="116">
                  <c:v>2000</c:v>
                </c:pt>
                <c:pt idx="117">
                  <c:v>2000</c:v>
                </c:pt>
                <c:pt idx="118">
                  <c:v>2000</c:v>
                </c:pt>
                <c:pt idx="119">
                  <c:v>2000</c:v>
                </c:pt>
                <c:pt idx="120">
                  <c:v>2000</c:v>
                </c:pt>
                <c:pt idx="121">
                  <c:v>2000</c:v>
                </c:pt>
                <c:pt idx="122">
                  <c:v>2000</c:v>
                </c:pt>
                <c:pt idx="123">
                  <c:v>2000</c:v>
                </c:pt>
                <c:pt idx="124">
                  <c:v>2500</c:v>
                </c:pt>
                <c:pt idx="125">
                  <c:v>2500</c:v>
                </c:pt>
                <c:pt idx="126">
                  <c:v>2500</c:v>
                </c:pt>
                <c:pt idx="127">
                  <c:v>2500</c:v>
                </c:pt>
                <c:pt idx="128">
                  <c:v>2500</c:v>
                </c:pt>
                <c:pt idx="129">
                  <c:v>2500</c:v>
                </c:pt>
                <c:pt idx="130">
                  <c:v>2500</c:v>
                </c:pt>
                <c:pt idx="131">
                  <c:v>2500</c:v>
                </c:pt>
                <c:pt idx="132">
                  <c:v>2500</c:v>
                </c:pt>
                <c:pt idx="133">
                  <c:v>2500</c:v>
                </c:pt>
                <c:pt idx="134">
                  <c:v>2500</c:v>
                </c:pt>
                <c:pt idx="135">
                  <c:v>2500</c:v>
                </c:pt>
                <c:pt idx="136">
                  <c:v>2500</c:v>
                </c:pt>
                <c:pt idx="137">
                  <c:v>2500</c:v>
                </c:pt>
                <c:pt idx="138">
                  <c:v>2800</c:v>
                </c:pt>
                <c:pt idx="139">
                  <c:v>2800</c:v>
                </c:pt>
                <c:pt idx="140">
                  <c:v>2800</c:v>
                </c:pt>
                <c:pt idx="141">
                  <c:v>2800</c:v>
                </c:pt>
                <c:pt idx="142">
                  <c:v>3000</c:v>
                </c:pt>
                <c:pt idx="143">
                  <c:v>3000</c:v>
                </c:pt>
                <c:pt idx="144">
                  <c:v>3000</c:v>
                </c:pt>
                <c:pt idx="145">
                  <c:v>3000</c:v>
                </c:pt>
                <c:pt idx="146">
                  <c:v>3000</c:v>
                </c:pt>
                <c:pt idx="147">
                  <c:v>3000</c:v>
                </c:pt>
                <c:pt idx="148">
                  <c:v>3000</c:v>
                </c:pt>
                <c:pt idx="149">
                  <c:v>3000</c:v>
                </c:pt>
                <c:pt idx="150">
                  <c:v>3000</c:v>
                </c:pt>
                <c:pt idx="151">
                  <c:v>3000</c:v>
                </c:pt>
                <c:pt idx="152">
                  <c:v>3000</c:v>
                </c:pt>
                <c:pt idx="153">
                  <c:v>3000</c:v>
                </c:pt>
                <c:pt idx="154">
                  <c:v>3000</c:v>
                </c:pt>
                <c:pt idx="155">
                  <c:v>3000</c:v>
                </c:pt>
                <c:pt idx="156">
                  <c:v>3000</c:v>
                </c:pt>
                <c:pt idx="157">
                  <c:v>3000</c:v>
                </c:pt>
                <c:pt idx="158">
                  <c:v>3000</c:v>
                </c:pt>
                <c:pt idx="159">
                  <c:v>3000</c:v>
                </c:pt>
                <c:pt idx="160">
                  <c:v>3000</c:v>
                </c:pt>
                <c:pt idx="161">
                  <c:v>3000</c:v>
                </c:pt>
                <c:pt idx="162">
                  <c:v>3000</c:v>
                </c:pt>
                <c:pt idx="163">
                  <c:v>3000</c:v>
                </c:pt>
                <c:pt idx="164">
                  <c:v>3000</c:v>
                </c:pt>
                <c:pt idx="165">
                  <c:v>3000</c:v>
                </c:pt>
                <c:pt idx="166">
                  <c:v>3000</c:v>
                </c:pt>
                <c:pt idx="167">
                  <c:v>3000</c:v>
                </c:pt>
                <c:pt idx="168">
                  <c:v>3000</c:v>
                </c:pt>
                <c:pt idx="169">
                  <c:v>3000</c:v>
                </c:pt>
                <c:pt idx="170">
                  <c:v>3000</c:v>
                </c:pt>
                <c:pt idx="171">
                  <c:v>3000</c:v>
                </c:pt>
                <c:pt idx="172">
                  <c:v>3000</c:v>
                </c:pt>
                <c:pt idx="173">
                  <c:v>3000</c:v>
                </c:pt>
                <c:pt idx="174">
                  <c:v>3000</c:v>
                </c:pt>
                <c:pt idx="175">
                  <c:v>3000</c:v>
                </c:pt>
                <c:pt idx="176">
                  <c:v>3000</c:v>
                </c:pt>
                <c:pt idx="177">
                  <c:v>3000</c:v>
                </c:pt>
                <c:pt idx="178">
                  <c:v>3000</c:v>
                </c:pt>
                <c:pt idx="179">
                  <c:v>3000</c:v>
                </c:pt>
                <c:pt idx="180">
                  <c:v>3000</c:v>
                </c:pt>
                <c:pt idx="181">
                  <c:v>3000</c:v>
                </c:pt>
                <c:pt idx="182">
                  <c:v>3000</c:v>
                </c:pt>
                <c:pt idx="183">
                  <c:v>3000</c:v>
                </c:pt>
                <c:pt idx="184">
                  <c:v>3000</c:v>
                </c:pt>
                <c:pt idx="185">
                  <c:v>3000</c:v>
                </c:pt>
                <c:pt idx="186">
                  <c:v>3000</c:v>
                </c:pt>
                <c:pt idx="187">
                  <c:v>3000</c:v>
                </c:pt>
                <c:pt idx="188">
                  <c:v>3000</c:v>
                </c:pt>
                <c:pt idx="189">
                  <c:v>3000</c:v>
                </c:pt>
                <c:pt idx="190">
                  <c:v>3000</c:v>
                </c:pt>
                <c:pt idx="191">
                  <c:v>3000</c:v>
                </c:pt>
                <c:pt idx="192">
                  <c:v>3000</c:v>
                </c:pt>
                <c:pt idx="193">
                  <c:v>3000</c:v>
                </c:pt>
                <c:pt idx="194">
                  <c:v>3000</c:v>
                </c:pt>
                <c:pt idx="195">
                  <c:v>3000</c:v>
                </c:pt>
                <c:pt idx="196">
                  <c:v>3000</c:v>
                </c:pt>
                <c:pt idx="197">
                  <c:v>3000</c:v>
                </c:pt>
                <c:pt idx="198">
                  <c:v>3000</c:v>
                </c:pt>
                <c:pt idx="199">
                  <c:v>3000</c:v>
                </c:pt>
                <c:pt idx="200">
                  <c:v>3000</c:v>
                </c:pt>
                <c:pt idx="201">
                  <c:v>3000</c:v>
                </c:pt>
                <c:pt idx="202">
                  <c:v>3000</c:v>
                </c:pt>
                <c:pt idx="203">
                  <c:v>3000</c:v>
                </c:pt>
                <c:pt idx="204">
                  <c:v>3100</c:v>
                </c:pt>
                <c:pt idx="205">
                  <c:v>3100</c:v>
                </c:pt>
                <c:pt idx="206">
                  <c:v>3500</c:v>
                </c:pt>
                <c:pt idx="207">
                  <c:v>3500</c:v>
                </c:pt>
                <c:pt idx="208">
                  <c:v>3500</c:v>
                </c:pt>
                <c:pt idx="209">
                  <c:v>3500</c:v>
                </c:pt>
                <c:pt idx="210">
                  <c:v>3600</c:v>
                </c:pt>
                <c:pt idx="211">
                  <c:v>3600</c:v>
                </c:pt>
                <c:pt idx="212">
                  <c:v>3600</c:v>
                </c:pt>
                <c:pt idx="213">
                  <c:v>3600</c:v>
                </c:pt>
                <c:pt idx="214">
                  <c:v>3900</c:v>
                </c:pt>
                <c:pt idx="215">
                  <c:v>3900</c:v>
                </c:pt>
                <c:pt idx="216">
                  <c:v>4000</c:v>
                </c:pt>
                <c:pt idx="217">
                  <c:v>4000</c:v>
                </c:pt>
                <c:pt idx="218">
                  <c:v>4000</c:v>
                </c:pt>
                <c:pt idx="219">
                  <c:v>4000</c:v>
                </c:pt>
                <c:pt idx="220">
                  <c:v>4000</c:v>
                </c:pt>
                <c:pt idx="221">
                  <c:v>4000</c:v>
                </c:pt>
                <c:pt idx="222">
                  <c:v>4000</c:v>
                </c:pt>
                <c:pt idx="223">
                  <c:v>4000</c:v>
                </c:pt>
                <c:pt idx="224">
                  <c:v>4000</c:v>
                </c:pt>
                <c:pt idx="225">
                  <c:v>4000</c:v>
                </c:pt>
                <c:pt idx="226">
                  <c:v>4000</c:v>
                </c:pt>
                <c:pt idx="227">
                  <c:v>4000</c:v>
                </c:pt>
                <c:pt idx="228">
                  <c:v>4000</c:v>
                </c:pt>
                <c:pt idx="229">
                  <c:v>4000</c:v>
                </c:pt>
                <c:pt idx="230">
                  <c:v>4000</c:v>
                </c:pt>
                <c:pt idx="231">
                  <c:v>4000</c:v>
                </c:pt>
                <c:pt idx="232">
                  <c:v>4000</c:v>
                </c:pt>
                <c:pt idx="233">
                  <c:v>4000</c:v>
                </c:pt>
                <c:pt idx="234">
                  <c:v>4000</c:v>
                </c:pt>
                <c:pt idx="235">
                  <c:v>4000</c:v>
                </c:pt>
                <c:pt idx="236">
                  <c:v>4000</c:v>
                </c:pt>
                <c:pt idx="237">
                  <c:v>4000</c:v>
                </c:pt>
                <c:pt idx="238">
                  <c:v>4000</c:v>
                </c:pt>
                <c:pt idx="239">
                  <c:v>4000</c:v>
                </c:pt>
                <c:pt idx="240">
                  <c:v>4000</c:v>
                </c:pt>
                <c:pt idx="241">
                  <c:v>4000</c:v>
                </c:pt>
                <c:pt idx="242">
                  <c:v>4000</c:v>
                </c:pt>
                <c:pt idx="243">
                  <c:v>4000</c:v>
                </c:pt>
                <c:pt idx="244">
                  <c:v>4000</c:v>
                </c:pt>
                <c:pt idx="245">
                  <c:v>4000</c:v>
                </c:pt>
                <c:pt idx="246">
                  <c:v>4000</c:v>
                </c:pt>
                <c:pt idx="247">
                  <c:v>4000</c:v>
                </c:pt>
                <c:pt idx="248">
                  <c:v>4000</c:v>
                </c:pt>
                <c:pt idx="249">
                  <c:v>4000</c:v>
                </c:pt>
                <c:pt idx="250">
                  <c:v>4000</c:v>
                </c:pt>
                <c:pt idx="251">
                  <c:v>4000</c:v>
                </c:pt>
                <c:pt idx="252">
                  <c:v>4000</c:v>
                </c:pt>
                <c:pt idx="253">
                  <c:v>4000</c:v>
                </c:pt>
                <c:pt idx="254">
                  <c:v>4000</c:v>
                </c:pt>
                <c:pt idx="255">
                  <c:v>4000</c:v>
                </c:pt>
                <c:pt idx="256">
                  <c:v>4000</c:v>
                </c:pt>
                <c:pt idx="257">
                  <c:v>4000</c:v>
                </c:pt>
                <c:pt idx="258">
                  <c:v>4000</c:v>
                </c:pt>
                <c:pt idx="259">
                  <c:v>4000</c:v>
                </c:pt>
                <c:pt idx="260">
                  <c:v>4000</c:v>
                </c:pt>
                <c:pt idx="261">
                  <c:v>4000</c:v>
                </c:pt>
                <c:pt idx="262">
                  <c:v>4000</c:v>
                </c:pt>
                <c:pt idx="263">
                  <c:v>4000</c:v>
                </c:pt>
                <c:pt idx="264">
                  <c:v>4000</c:v>
                </c:pt>
                <c:pt idx="265">
                  <c:v>4000</c:v>
                </c:pt>
                <c:pt idx="266">
                  <c:v>4000</c:v>
                </c:pt>
                <c:pt idx="267">
                  <c:v>4000</c:v>
                </c:pt>
                <c:pt idx="268">
                  <c:v>4000</c:v>
                </c:pt>
                <c:pt idx="269">
                  <c:v>4000</c:v>
                </c:pt>
                <c:pt idx="270">
                  <c:v>4000</c:v>
                </c:pt>
                <c:pt idx="271">
                  <c:v>4000</c:v>
                </c:pt>
                <c:pt idx="272">
                  <c:v>4000</c:v>
                </c:pt>
                <c:pt idx="273">
                  <c:v>4000</c:v>
                </c:pt>
                <c:pt idx="274">
                  <c:v>4000</c:v>
                </c:pt>
                <c:pt idx="275">
                  <c:v>4000</c:v>
                </c:pt>
                <c:pt idx="276">
                  <c:v>4000</c:v>
                </c:pt>
                <c:pt idx="277">
                  <c:v>4000</c:v>
                </c:pt>
                <c:pt idx="278">
                  <c:v>4000</c:v>
                </c:pt>
                <c:pt idx="279">
                  <c:v>4000</c:v>
                </c:pt>
                <c:pt idx="280">
                  <c:v>4000</c:v>
                </c:pt>
                <c:pt idx="281">
                  <c:v>4000</c:v>
                </c:pt>
                <c:pt idx="282">
                  <c:v>4000</c:v>
                </c:pt>
                <c:pt idx="283">
                  <c:v>4000</c:v>
                </c:pt>
                <c:pt idx="284">
                  <c:v>4000</c:v>
                </c:pt>
                <c:pt idx="285">
                  <c:v>4000</c:v>
                </c:pt>
                <c:pt idx="286">
                  <c:v>4000</c:v>
                </c:pt>
                <c:pt idx="287">
                  <c:v>4000</c:v>
                </c:pt>
                <c:pt idx="288">
                  <c:v>4000</c:v>
                </c:pt>
                <c:pt idx="289">
                  <c:v>4000</c:v>
                </c:pt>
                <c:pt idx="290">
                  <c:v>4000</c:v>
                </c:pt>
                <c:pt idx="291">
                  <c:v>4000</c:v>
                </c:pt>
                <c:pt idx="292">
                  <c:v>4000</c:v>
                </c:pt>
                <c:pt idx="293">
                  <c:v>4000</c:v>
                </c:pt>
                <c:pt idx="294">
                  <c:v>4000</c:v>
                </c:pt>
                <c:pt idx="295">
                  <c:v>4000</c:v>
                </c:pt>
                <c:pt idx="296">
                  <c:v>4000</c:v>
                </c:pt>
                <c:pt idx="297">
                  <c:v>4000</c:v>
                </c:pt>
                <c:pt idx="298">
                  <c:v>4000</c:v>
                </c:pt>
                <c:pt idx="299">
                  <c:v>4000</c:v>
                </c:pt>
                <c:pt idx="300">
                  <c:v>4000</c:v>
                </c:pt>
                <c:pt idx="301">
                  <c:v>4000</c:v>
                </c:pt>
                <c:pt idx="302">
                  <c:v>4000</c:v>
                </c:pt>
                <c:pt idx="303">
                  <c:v>4000</c:v>
                </c:pt>
                <c:pt idx="304">
                  <c:v>4000</c:v>
                </c:pt>
                <c:pt idx="305">
                  <c:v>4000</c:v>
                </c:pt>
                <c:pt idx="306">
                  <c:v>4000</c:v>
                </c:pt>
                <c:pt idx="307">
                  <c:v>4000</c:v>
                </c:pt>
                <c:pt idx="308">
                  <c:v>4100</c:v>
                </c:pt>
                <c:pt idx="309">
                  <c:v>4100</c:v>
                </c:pt>
                <c:pt idx="310">
                  <c:v>4120</c:v>
                </c:pt>
                <c:pt idx="311">
                  <c:v>4120</c:v>
                </c:pt>
                <c:pt idx="312">
                  <c:v>4300</c:v>
                </c:pt>
                <c:pt idx="313">
                  <c:v>4300</c:v>
                </c:pt>
                <c:pt idx="314">
                  <c:v>4500</c:v>
                </c:pt>
                <c:pt idx="315">
                  <c:v>4500</c:v>
                </c:pt>
                <c:pt idx="316">
                  <c:v>4500</c:v>
                </c:pt>
                <c:pt idx="317">
                  <c:v>4500</c:v>
                </c:pt>
                <c:pt idx="318">
                  <c:v>4500</c:v>
                </c:pt>
                <c:pt idx="319">
                  <c:v>4500</c:v>
                </c:pt>
                <c:pt idx="320">
                  <c:v>4500</c:v>
                </c:pt>
                <c:pt idx="321">
                  <c:v>4500</c:v>
                </c:pt>
                <c:pt idx="322">
                  <c:v>4500</c:v>
                </c:pt>
                <c:pt idx="323">
                  <c:v>4500</c:v>
                </c:pt>
                <c:pt idx="324">
                  <c:v>4500</c:v>
                </c:pt>
                <c:pt idx="325">
                  <c:v>4500</c:v>
                </c:pt>
                <c:pt idx="326">
                  <c:v>4500</c:v>
                </c:pt>
                <c:pt idx="327">
                  <c:v>4500</c:v>
                </c:pt>
                <c:pt idx="328">
                  <c:v>4500</c:v>
                </c:pt>
                <c:pt idx="329">
                  <c:v>4500</c:v>
                </c:pt>
                <c:pt idx="330">
                  <c:v>4500</c:v>
                </c:pt>
                <c:pt idx="331">
                  <c:v>4500</c:v>
                </c:pt>
                <c:pt idx="332">
                  <c:v>4500</c:v>
                </c:pt>
                <c:pt idx="333">
                  <c:v>4500</c:v>
                </c:pt>
                <c:pt idx="334">
                  <c:v>4500</c:v>
                </c:pt>
                <c:pt idx="335">
                  <c:v>4500</c:v>
                </c:pt>
                <c:pt idx="336">
                  <c:v>4500</c:v>
                </c:pt>
                <c:pt idx="337">
                  <c:v>4500</c:v>
                </c:pt>
                <c:pt idx="338">
                  <c:v>4500</c:v>
                </c:pt>
                <c:pt idx="339">
                  <c:v>4500</c:v>
                </c:pt>
                <c:pt idx="340">
                  <c:v>4697</c:v>
                </c:pt>
                <c:pt idx="341">
                  <c:v>4697</c:v>
                </c:pt>
                <c:pt idx="342">
                  <c:v>4900</c:v>
                </c:pt>
                <c:pt idx="343">
                  <c:v>4900</c:v>
                </c:pt>
                <c:pt idx="344">
                  <c:v>5000</c:v>
                </c:pt>
                <c:pt idx="345">
                  <c:v>5000</c:v>
                </c:pt>
                <c:pt idx="346">
                  <c:v>5000</c:v>
                </c:pt>
                <c:pt idx="347">
                  <c:v>5000</c:v>
                </c:pt>
                <c:pt idx="348">
                  <c:v>5000</c:v>
                </c:pt>
                <c:pt idx="349">
                  <c:v>5000</c:v>
                </c:pt>
                <c:pt idx="350">
                  <c:v>5000</c:v>
                </c:pt>
                <c:pt idx="351">
                  <c:v>5000</c:v>
                </c:pt>
                <c:pt idx="352">
                  <c:v>5000</c:v>
                </c:pt>
                <c:pt idx="353">
                  <c:v>5000</c:v>
                </c:pt>
                <c:pt idx="354">
                  <c:v>5000</c:v>
                </c:pt>
                <c:pt idx="355">
                  <c:v>5000</c:v>
                </c:pt>
                <c:pt idx="356">
                  <c:v>5000</c:v>
                </c:pt>
                <c:pt idx="357">
                  <c:v>5000</c:v>
                </c:pt>
                <c:pt idx="358">
                  <c:v>5000</c:v>
                </c:pt>
                <c:pt idx="359">
                  <c:v>5000</c:v>
                </c:pt>
                <c:pt idx="360">
                  <c:v>5000</c:v>
                </c:pt>
                <c:pt idx="361">
                  <c:v>5000</c:v>
                </c:pt>
                <c:pt idx="362">
                  <c:v>5000</c:v>
                </c:pt>
                <c:pt idx="363">
                  <c:v>5000</c:v>
                </c:pt>
                <c:pt idx="364">
                  <c:v>5000</c:v>
                </c:pt>
                <c:pt idx="365">
                  <c:v>5000</c:v>
                </c:pt>
                <c:pt idx="366">
                  <c:v>5000</c:v>
                </c:pt>
                <c:pt idx="367">
                  <c:v>5000</c:v>
                </c:pt>
                <c:pt idx="368">
                  <c:v>5000</c:v>
                </c:pt>
                <c:pt idx="369">
                  <c:v>5000</c:v>
                </c:pt>
                <c:pt idx="370">
                  <c:v>5000</c:v>
                </c:pt>
                <c:pt idx="371">
                  <c:v>5000</c:v>
                </c:pt>
                <c:pt idx="372">
                  <c:v>5000</c:v>
                </c:pt>
                <c:pt idx="373">
                  <c:v>5000</c:v>
                </c:pt>
                <c:pt idx="374">
                  <c:v>5000</c:v>
                </c:pt>
                <c:pt idx="375">
                  <c:v>5000</c:v>
                </c:pt>
                <c:pt idx="376">
                  <c:v>5000</c:v>
                </c:pt>
                <c:pt idx="377">
                  <c:v>5000</c:v>
                </c:pt>
                <c:pt idx="378">
                  <c:v>5000</c:v>
                </c:pt>
                <c:pt idx="379">
                  <c:v>5000</c:v>
                </c:pt>
                <c:pt idx="380">
                  <c:v>5000</c:v>
                </c:pt>
                <c:pt idx="381">
                  <c:v>5000</c:v>
                </c:pt>
                <c:pt idx="382">
                  <c:v>5000</c:v>
                </c:pt>
                <c:pt idx="383">
                  <c:v>5000</c:v>
                </c:pt>
                <c:pt idx="384">
                  <c:v>5000</c:v>
                </c:pt>
                <c:pt idx="385">
                  <c:v>5000</c:v>
                </c:pt>
                <c:pt idx="386">
                  <c:v>5000</c:v>
                </c:pt>
                <c:pt idx="387">
                  <c:v>5000</c:v>
                </c:pt>
                <c:pt idx="388">
                  <c:v>5000</c:v>
                </c:pt>
                <c:pt idx="389">
                  <c:v>5000</c:v>
                </c:pt>
                <c:pt idx="390">
                  <c:v>5000</c:v>
                </c:pt>
                <c:pt idx="391">
                  <c:v>5000</c:v>
                </c:pt>
                <c:pt idx="392">
                  <c:v>5000</c:v>
                </c:pt>
                <c:pt idx="393">
                  <c:v>5000</c:v>
                </c:pt>
                <c:pt idx="394">
                  <c:v>5000</c:v>
                </c:pt>
                <c:pt idx="395">
                  <c:v>5000</c:v>
                </c:pt>
                <c:pt idx="396">
                  <c:v>5000</c:v>
                </c:pt>
                <c:pt idx="397">
                  <c:v>5000</c:v>
                </c:pt>
                <c:pt idx="398">
                  <c:v>5000</c:v>
                </c:pt>
                <c:pt idx="399">
                  <c:v>5000</c:v>
                </c:pt>
                <c:pt idx="400">
                  <c:v>5000</c:v>
                </c:pt>
                <c:pt idx="401">
                  <c:v>5000</c:v>
                </c:pt>
                <c:pt idx="402">
                  <c:v>5000</c:v>
                </c:pt>
                <c:pt idx="403">
                  <c:v>5000</c:v>
                </c:pt>
                <c:pt idx="404">
                  <c:v>5000</c:v>
                </c:pt>
                <c:pt idx="405">
                  <c:v>5000</c:v>
                </c:pt>
                <c:pt idx="406">
                  <c:v>5000</c:v>
                </c:pt>
                <c:pt idx="407">
                  <c:v>5000</c:v>
                </c:pt>
                <c:pt idx="408">
                  <c:v>5000</c:v>
                </c:pt>
                <c:pt idx="409">
                  <c:v>5000</c:v>
                </c:pt>
                <c:pt idx="410">
                  <c:v>5000</c:v>
                </c:pt>
                <c:pt idx="411">
                  <c:v>5000</c:v>
                </c:pt>
                <c:pt idx="412">
                  <c:v>5000</c:v>
                </c:pt>
                <c:pt idx="413">
                  <c:v>5000</c:v>
                </c:pt>
                <c:pt idx="414">
                  <c:v>5000</c:v>
                </c:pt>
                <c:pt idx="415">
                  <c:v>5000</c:v>
                </c:pt>
                <c:pt idx="416">
                  <c:v>5000</c:v>
                </c:pt>
                <c:pt idx="417">
                  <c:v>5000</c:v>
                </c:pt>
                <c:pt idx="418">
                  <c:v>5000</c:v>
                </c:pt>
                <c:pt idx="419">
                  <c:v>5000</c:v>
                </c:pt>
                <c:pt idx="420">
                  <c:v>5000</c:v>
                </c:pt>
                <c:pt idx="421">
                  <c:v>5000</c:v>
                </c:pt>
                <c:pt idx="422">
                  <c:v>5000</c:v>
                </c:pt>
                <c:pt idx="423">
                  <c:v>5000</c:v>
                </c:pt>
                <c:pt idx="424">
                  <c:v>5000</c:v>
                </c:pt>
                <c:pt idx="425">
                  <c:v>5000</c:v>
                </c:pt>
                <c:pt idx="426">
                  <c:v>5000</c:v>
                </c:pt>
                <c:pt idx="427">
                  <c:v>5000</c:v>
                </c:pt>
                <c:pt idx="428">
                  <c:v>5000</c:v>
                </c:pt>
                <c:pt idx="429">
                  <c:v>5000</c:v>
                </c:pt>
                <c:pt idx="430">
                  <c:v>5000</c:v>
                </c:pt>
                <c:pt idx="431">
                  <c:v>5000</c:v>
                </c:pt>
                <c:pt idx="432">
                  <c:v>5000</c:v>
                </c:pt>
                <c:pt idx="433">
                  <c:v>5000</c:v>
                </c:pt>
                <c:pt idx="434">
                  <c:v>5000</c:v>
                </c:pt>
                <c:pt idx="435">
                  <c:v>5000</c:v>
                </c:pt>
                <c:pt idx="436">
                  <c:v>5000</c:v>
                </c:pt>
                <c:pt idx="437">
                  <c:v>5000</c:v>
                </c:pt>
                <c:pt idx="438">
                  <c:v>5000</c:v>
                </c:pt>
                <c:pt idx="439">
                  <c:v>5000</c:v>
                </c:pt>
                <c:pt idx="440">
                  <c:v>5000</c:v>
                </c:pt>
                <c:pt idx="441">
                  <c:v>5000</c:v>
                </c:pt>
                <c:pt idx="442">
                  <c:v>5000</c:v>
                </c:pt>
                <c:pt idx="443">
                  <c:v>5000</c:v>
                </c:pt>
                <c:pt idx="444">
                  <c:v>5000</c:v>
                </c:pt>
                <c:pt idx="445">
                  <c:v>5000</c:v>
                </c:pt>
                <c:pt idx="446">
                  <c:v>5100</c:v>
                </c:pt>
                <c:pt idx="447">
                  <c:v>5100</c:v>
                </c:pt>
                <c:pt idx="448">
                  <c:v>5249</c:v>
                </c:pt>
                <c:pt idx="449">
                  <c:v>5249</c:v>
                </c:pt>
                <c:pt idx="450">
                  <c:v>5450</c:v>
                </c:pt>
                <c:pt idx="451">
                  <c:v>5450</c:v>
                </c:pt>
                <c:pt idx="452">
                  <c:v>5500</c:v>
                </c:pt>
                <c:pt idx="453">
                  <c:v>5500</c:v>
                </c:pt>
                <c:pt idx="454">
                  <c:v>5500</c:v>
                </c:pt>
                <c:pt idx="455">
                  <c:v>5500</c:v>
                </c:pt>
                <c:pt idx="456">
                  <c:v>5600</c:v>
                </c:pt>
                <c:pt idx="457">
                  <c:v>5600</c:v>
                </c:pt>
                <c:pt idx="458">
                  <c:v>5700</c:v>
                </c:pt>
                <c:pt idx="459">
                  <c:v>5700</c:v>
                </c:pt>
                <c:pt idx="460">
                  <c:v>5700</c:v>
                </c:pt>
                <c:pt idx="461">
                  <c:v>5700</c:v>
                </c:pt>
                <c:pt idx="462">
                  <c:v>5700</c:v>
                </c:pt>
                <c:pt idx="463">
                  <c:v>5700</c:v>
                </c:pt>
                <c:pt idx="464">
                  <c:v>5850</c:v>
                </c:pt>
                <c:pt idx="465">
                  <c:v>5850</c:v>
                </c:pt>
                <c:pt idx="466">
                  <c:v>5900</c:v>
                </c:pt>
                <c:pt idx="467">
                  <c:v>5900</c:v>
                </c:pt>
                <c:pt idx="468">
                  <c:v>5989</c:v>
                </c:pt>
                <c:pt idx="469">
                  <c:v>5989</c:v>
                </c:pt>
                <c:pt idx="470">
                  <c:v>6000</c:v>
                </c:pt>
                <c:pt idx="471">
                  <c:v>6000</c:v>
                </c:pt>
                <c:pt idx="472">
                  <c:v>6000</c:v>
                </c:pt>
                <c:pt idx="473">
                  <c:v>6000</c:v>
                </c:pt>
                <c:pt idx="474">
                  <c:v>6000</c:v>
                </c:pt>
                <c:pt idx="475">
                  <c:v>6000</c:v>
                </c:pt>
                <c:pt idx="476">
                  <c:v>6000</c:v>
                </c:pt>
                <c:pt idx="477">
                  <c:v>6000</c:v>
                </c:pt>
                <c:pt idx="478">
                  <c:v>6000</c:v>
                </c:pt>
                <c:pt idx="479">
                  <c:v>6000</c:v>
                </c:pt>
                <c:pt idx="480">
                  <c:v>6000</c:v>
                </c:pt>
                <c:pt idx="481">
                  <c:v>6000</c:v>
                </c:pt>
                <c:pt idx="482">
                  <c:v>6000</c:v>
                </c:pt>
                <c:pt idx="483">
                  <c:v>6000</c:v>
                </c:pt>
                <c:pt idx="484">
                  <c:v>6000</c:v>
                </c:pt>
                <c:pt idx="485">
                  <c:v>6000</c:v>
                </c:pt>
                <c:pt idx="486">
                  <c:v>6000</c:v>
                </c:pt>
                <c:pt idx="487">
                  <c:v>6000</c:v>
                </c:pt>
                <c:pt idx="488">
                  <c:v>6000</c:v>
                </c:pt>
                <c:pt idx="489">
                  <c:v>6000</c:v>
                </c:pt>
                <c:pt idx="490">
                  <c:v>6000</c:v>
                </c:pt>
                <c:pt idx="491">
                  <c:v>6000</c:v>
                </c:pt>
                <c:pt idx="492">
                  <c:v>6000</c:v>
                </c:pt>
                <c:pt idx="493">
                  <c:v>6000</c:v>
                </c:pt>
                <c:pt idx="494">
                  <c:v>6000</c:v>
                </c:pt>
                <c:pt idx="495">
                  <c:v>6000</c:v>
                </c:pt>
                <c:pt idx="496">
                  <c:v>6000</c:v>
                </c:pt>
                <c:pt idx="497">
                  <c:v>6000</c:v>
                </c:pt>
                <c:pt idx="498">
                  <c:v>6000</c:v>
                </c:pt>
                <c:pt idx="499">
                  <c:v>6000</c:v>
                </c:pt>
                <c:pt idx="500">
                  <c:v>6000</c:v>
                </c:pt>
                <c:pt idx="501">
                  <c:v>6000</c:v>
                </c:pt>
                <c:pt idx="502">
                  <c:v>6000</c:v>
                </c:pt>
                <c:pt idx="503">
                  <c:v>6000</c:v>
                </c:pt>
                <c:pt idx="504">
                  <c:v>6000</c:v>
                </c:pt>
                <c:pt idx="505">
                  <c:v>6000</c:v>
                </c:pt>
                <c:pt idx="506">
                  <c:v>6000</c:v>
                </c:pt>
                <c:pt idx="507">
                  <c:v>6000</c:v>
                </c:pt>
                <c:pt idx="508">
                  <c:v>6000</c:v>
                </c:pt>
                <c:pt idx="509">
                  <c:v>6000</c:v>
                </c:pt>
                <c:pt idx="510">
                  <c:v>6000</c:v>
                </c:pt>
                <c:pt idx="511">
                  <c:v>6000</c:v>
                </c:pt>
                <c:pt idx="512">
                  <c:v>6000</c:v>
                </c:pt>
                <c:pt idx="513">
                  <c:v>6000</c:v>
                </c:pt>
                <c:pt idx="514">
                  <c:v>6000</c:v>
                </c:pt>
                <c:pt idx="515">
                  <c:v>6000</c:v>
                </c:pt>
                <c:pt idx="516">
                  <c:v>6000</c:v>
                </c:pt>
                <c:pt idx="517">
                  <c:v>6000</c:v>
                </c:pt>
                <c:pt idx="518">
                  <c:v>6000</c:v>
                </c:pt>
                <c:pt idx="519">
                  <c:v>6000</c:v>
                </c:pt>
                <c:pt idx="520">
                  <c:v>6000</c:v>
                </c:pt>
                <c:pt idx="521">
                  <c:v>6000</c:v>
                </c:pt>
                <c:pt idx="522">
                  <c:v>6000</c:v>
                </c:pt>
                <c:pt idx="523">
                  <c:v>6000</c:v>
                </c:pt>
                <c:pt idx="524">
                  <c:v>6000</c:v>
                </c:pt>
                <c:pt idx="525">
                  <c:v>6000</c:v>
                </c:pt>
                <c:pt idx="526">
                  <c:v>6000</c:v>
                </c:pt>
                <c:pt idx="527">
                  <c:v>6000</c:v>
                </c:pt>
                <c:pt idx="528">
                  <c:v>6000</c:v>
                </c:pt>
                <c:pt idx="529">
                  <c:v>6000</c:v>
                </c:pt>
                <c:pt idx="530">
                  <c:v>6000</c:v>
                </c:pt>
                <c:pt idx="531">
                  <c:v>6000</c:v>
                </c:pt>
                <c:pt idx="532">
                  <c:v>6000</c:v>
                </c:pt>
                <c:pt idx="533">
                  <c:v>6000</c:v>
                </c:pt>
                <c:pt idx="534">
                  <c:v>6000</c:v>
                </c:pt>
                <c:pt idx="535">
                  <c:v>6000</c:v>
                </c:pt>
                <c:pt idx="536">
                  <c:v>6000</c:v>
                </c:pt>
                <c:pt idx="537">
                  <c:v>6000</c:v>
                </c:pt>
                <c:pt idx="538">
                  <c:v>6000</c:v>
                </c:pt>
                <c:pt idx="539">
                  <c:v>6000</c:v>
                </c:pt>
                <c:pt idx="540">
                  <c:v>6000</c:v>
                </c:pt>
                <c:pt idx="541">
                  <c:v>6000</c:v>
                </c:pt>
                <c:pt idx="542">
                  <c:v>6000</c:v>
                </c:pt>
                <c:pt idx="543">
                  <c:v>6000</c:v>
                </c:pt>
                <c:pt idx="544">
                  <c:v>6000</c:v>
                </c:pt>
                <c:pt idx="545">
                  <c:v>6000</c:v>
                </c:pt>
                <c:pt idx="546">
                  <c:v>6000</c:v>
                </c:pt>
                <c:pt idx="547">
                  <c:v>6000</c:v>
                </c:pt>
                <c:pt idx="548">
                  <c:v>6000</c:v>
                </c:pt>
                <c:pt idx="549">
                  <c:v>6000</c:v>
                </c:pt>
                <c:pt idx="550">
                  <c:v>6000</c:v>
                </c:pt>
                <c:pt idx="551">
                  <c:v>6000</c:v>
                </c:pt>
                <c:pt idx="552">
                  <c:v>6000</c:v>
                </c:pt>
                <c:pt idx="553">
                  <c:v>6000</c:v>
                </c:pt>
                <c:pt idx="554">
                  <c:v>6000</c:v>
                </c:pt>
                <c:pt idx="555">
                  <c:v>6000</c:v>
                </c:pt>
                <c:pt idx="556">
                  <c:v>6000</c:v>
                </c:pt>
                <c:pt idx="557">
                  <c:v>6000</c:v>
                </c:pt>
                <c:pt idx="558">
                  <c:v>6000</c:v>
                </c:pt>
                <c:pt idx="559">
                  <c:v>6000</c:v>
                </c:pt>
                <c:pt idx="560">
                  <c:v>6000</c:v>
                </c:pt>
                <c:pt idx="561">
                  <c:v>6000</c:v>
                </c:pt>
                <c:pt idx="562">
                  <c:v>6000</c:v>
                </c:pt>
                <c:pt idx="563">
                  <c:v>6000</c:v>
                </c:pt>
                <c:pt idx="564">
                  <c:v>6000</c:v>
                </c:pt>
                <c:pt idx="565">
                  <c:v>6000</c:v>
                </c:pt>
                <c:pt idx="566">
                  <c:v>6000</c:v>
                </c:pt>
                <c:pt idx="567">
                  <c:v>6000</c:v>
                </c:pt>
                <c:pt idx="568">
                  <c:v>6000</c:v>
                </c:pt>
                <c:pt idx="569">
                  <c:v>6000</c:v>
                </c:pt>
                <c:pt idx="570">
                  <c:v>6000</c:v>
                </c:pt>
                <c:pt idx="571">
                  <c:v>6000</c:v>
                </c:pt>
                <c:pt idx="572">
                  <c:v>6100</c:v>
                </c:pt>
                <c:pt idx="573">
                  <c:v>6100</c:v>
                </c:pt>
                <c:pt idx="574">
                  <c:v>6100</c:v>
                </c:pt>
                <c:pt idx="575">
                  <c:v>6100</c:v>
                </c:pt>
                <c:pt idx="576">
                  <c:v>6152</c:v>
                </c:pt>
                <c:pt idx="577">
                  <c:v>6152</c:v>
                </c:pt>
                <c:pt idx="578">
                  <c:v>6170</c:v>
                </c:pt>
                <c:pt idx="579">
                  <c:v>6170</c:v>
                </c:pt>
                <c:pt idx="580">
                  <c:v>6200</c:v>
                </c:pt>
                <c:pt idx="581">
                  <c:v>6200</c:v>
                </c:pt>
                <c:pt idx="582">
                  <c:v>6300</c:v>
                </c:pt>
                <c:pt idx="583">
                  <c:v>6300</c:v>
                </c:pt>
                <c:pt idx="584">
                  <c:v>6300</c:v>
                </c:pt>
                <c:pt idx="585">
                  <c:v>6300</c:v>
                </c:pt>
                <c:pt idx="586">
                  <c:v>6358</c:v>
                </c:pt>
                <c:pt idx="587">
                  <c:v>6358</c:v>
                </c:pt>
                <c:pt idx="588">
                  <c:v>6400</c:v>
                </c:pt>
                <c:pt idx="589">
                  <c:v>6400</c:v>
                </c:pt>
                <c:pt idx="590">
                  <c:v>6500</c:v>
                </c:pt>
                <c:pt idx="591">
                  <c:v>6500</c:v>
                </c:pt>
                <c:pt idx="592">
                  <c:v>6500</c:v>
                </c:pt>
                <c:pt idx="593">
                  <c:v>6500</c:v>
                </c:pt>
                <c:pt idx="594">
                  <c:v>6500</c:v>
                </c:pt>
                <c:pt idx="595">
                  <c:v>6500</c:v>
                </c:pt>
                <c:pt idx="596">
                  <c:v>6500</c:v>
                </c:pt>
                <c:pt idx="597">
                  <c:v>6500</c:v>
                </c:pt>
                <c:pt idx="598">
                  <c:v>6500</c:v>
                </c:pt>
                <c:pt idx="599">
                  <c:v>6500</c:v>
                </c:pt>
                <c:pt idx="600">
                  <c:v>6500</c:v>
                </c:pt>
                <c:pt idx="601">
                  <c:v>6500</c:v>
                </c:pt>
                <c:pt idx="602">
                  <c:v>6500</c:v>
                </c:pt>
                <c:pt idx="603">
                  <c:v>6500</c:v>
                </c:pt>
                <c:pt idx="604">
                  <c:v>6500</c:v>
                </c:pt>
                <c:pt idx="605">
                  <c:v>6500</c:v>
                </c:pt>
                <c:pt idx="606">
                  <c:v>6700</c:v>
                </c:pt>
                <c:pt idx="607">
                  <c:v>6700</c:v>
                </c:pt>
                <c:pt idx="608">
                  <c:v>6900</c:v>
                </c:pt>
                <c:pt idx="609">
                  <c:v>6900</c:v>
                </c:pt>
                <c:pt idx="610">
                  <c:v>7000</c:v>
                </c:pt>
                <c:pt idx="611">
                  <c:v>7000</c:v>
                </c:pt>
                <c:pt idx="612">
                  <c:v>7000</c:v>
                </c:pt>
                <c:pt idx="613">
                  <c:v>7000</c:v>
                </c:pt>
                <c:pt idx="614">
                  <c:v>7000</c:v>
                </c:pt>
                <c:pt idx="615">
                  <c:v>7000</c:v>
                </c:pt>
                <c:pt idx="616">
                  <c:v>7000</c:v>
                </c:pt>
                <c:pt idx="617">
                  <c:v>7000</c:v>
                </c:pt>
                <c:pt idx="618">
                  <c:v>7000</c:v>
                </c:pt>
                <c:pt idx="619">
                  <c:v>7000</c:v>
                </c:pt>
                <c:pt idx="620">
                  <c:v>7000</c:v>
                </c:pt>
                <c:pt idx="621">
                  <c:v>7000</c:v>
                </c:pt>
                <c:pt idx="622">
                  <c:v>7000</c:v>
                </c:pt>
                <c:pt idx="623">
                  <c:v>7000</c:v>
                </c:pt>
                <c:pt idx="624">
                  <c:v>7000</c:v>
                </c:pt>
                <c:pt idx="625">
                  <c:v>7000</c:v>
                </c:pt>
                <c:pt idx="626">
                  <c:v>7000</c:v>
                </c:pt>
                <c:pt idx="627">
                  <c:v>7000</c:v>
                </c:pt>
                <c:pt idx="628">
                  <c:v>7000</c:v>
                </c:pt>
                <c:pt idx="629">
                  <c:v>7000</c:v>
                </c:pt>
                <c:pt idx="630">
                  <c:v>7000</c:v>
                </c:pt>
                <c:pt idx="631">
                  <c:v>7000</c:v>
                </c:pt>
                <c:pt idx="632">
                  <c:v>7000</c:v>
                </c:pt>
                <c:pt idx="633">
                  <c:v>7000</c:v>
                </c:pt>
                <c:pt idx="634">
                  <c:v>7000</c:v>
                </c:pt>
                <c:pt idx="635">
                  <c:v>7000</c:v>
                </c:pt>
                <c:pt idx="636">
                  <c:v>7000</c:v>
                </c:pt>
                <c:pt idx="637">
                  <c:v>7000</c:v>
                </c:pt>
                <c:pt idx="638">
                  <c:v>7000</c:v>
                </c:pt>
                <c:pt idx="639">
                  <c:v>7000</c:v>
                </c:pt>
                <c:pt idx="640">
                  <c:v>7000</c:v>
                </c:pt>
                <c:pt idx="641">
                  <c:v>7000</c:v>
                </c:pt>
                <c:pt idx="642">
                  <c:v>7000</c:v>
                </c:pt>
                <c:pt idx="643">
                  <c:v>7000</c:v>
                </c:pt>
                <c:pt idx="644">
                  <c:v>7000</c:v>
                </c:pt>
                <c:pt idx="645">
                  <c:v>7000</c:v>
                </c:pt>
                <c:pt idx="646">
                  <c:v>7000</c:v>
                </c:pt>
                <c:pt idx="647">
                  <c:v>7000</c:v>
                </c:pt>
                <c:pt idx="648">
                  <c:v>7000</c:v>
                </c:pt>
                <c:pt idx="649">
                  <c:v>7000</c:v>
                </c:pt>
                <c:pt idx="650">
                  <c:v>7000</c:v>
                </c:pt>
                <c:pt idx="651">
                  <c:v>7000</c:v>
                </c:pt>
                <c:pt idx="652">
                  <c:v>7000</c:v>
                </c:pt>
                <c:pt idx="653">
                  <c:v>7000</c:v>
                </c:pt>
                <c:pt idx="654">
                  <c:v>7000</c:v>
                </c:pt>
                <c:pt idx="655">
                  <c:v>7000</c:v>
                </c:pt>
                <c:pt idx="656">
                  <c:v>7000</c:v>
                </c:pt>
                <c:pt idx="657">
                  <c:v>7000</c:v>
                </c:pt>
                <c:pt idx="658">
                  <c:v>7000</c:v>
                </c:pt>
                <c:pt idx="659">
                  <c:v>7000</c:v>
                </c:pt>
                <c:pt idx="660">
                  <c:v>7000</c:v>
                </c:pt>
                <c:pt idx="661">
                  <c:v>7000</c:v>
                </c:pt>
                <c:pt idx="662">
                  <c:v>7000</c:v>
                </c:pt>
                <c:pt idx="663">
                  <c:v>7000</c:v>
                </c:pt>
                <c:pt idx="664">
                  <c:v>7000</c:v>
                </c:pt>
                <c:pt idx="665">
                  <c:v>7000</c:v>
                </c:pt>
                <c:pt idx="666">
                  <c:v>7000</c:v>
                </c:pt>
                <c:pt idx="667">
                  <c:v>7000</c:v>
                </c:pt>
                <c:pt idx="668">
                  <c:v>7000</c:v>
                </c:pt>
                <c:pt idx="669">
                  <c:v>7000</c:v>
                </c:pt>
                <c:pt idx="670">
                  <c:v>7000</c:v>
                </c:pt>
                <c:pt idx="671">
                  <c:v>7000</c:v>
                </c:pt>
                <c:pt idx="672">
                  <c:v>7000</c:v>
                </c:pt>
                <c:pt idx="673">
                  <c:v>7000</c:v>
                </c:pt>
                <c:pt idx="674">
                  <c:v>7000</c:v>
                </c:pt>
                <c:pt idx="675">
                  <c:v>7000</c:v>
                </c:pt>
                <c:pt idx="676">
                  <c:v>7043</c:v>
                </c:pt>
                <c:pt idx="677">
                  <c:v>7043</c:v>
                </c:pt>
                <c:pt idx="678">
                  <c:v>7100</c:v>
                </c:pt>
                <c:pt idx="679">
                  <c:v>7100</c:v>
                </c:pt>
                <c:pt idx="680">
                  <c:v>7100</c:v>
                </c:pt>
                <c:pt idx="681">
                  <c:v>7100</c:v>
                </c:pt>
                <c:pt idx="682">
                  <c:v>7115</c:v>
                </c:pt>
                <c:pt idx="683">
                  <c:v>7115</c:v>
                </c:pt>
                <c:pt idx="684">
                  <c:v>7250</c:v>
                </c:pt>
                <c:pt idx="685">
                  <c:v>7250</c:v>
                </c:pt>
                <c:pt idx="686">
                  <c:v>7260</c:v>
                </c:pt>
                <c:pt idx="687">
                  <c:v>7260</c:v>
                </c:pt>
                <c:pt idx="688">
                  <c:v>7300</c:v>
                </c:pt>
                <c:pt idx="689">
                  <c:v>7300</c:v>
                </c:pt>
                <c:pt idx="690">
                  <c:v>7400</c:v>
                </c:pt>
                <c:pt idx="691">
                  <c:v>7400</c:v>
                </c:pt>
                <c:pt idx="692">
                  <c:v>7500</c:v>
                </c:pt>
                <c:pt idx="693">
                  <c:v>7500</c:v>
                </c:pt>
                <c:pt idx="694">
                  <c:v>7500</c:v>
                </c:pt>
                <c:pt idx="695">
                  <c:v>7500</c:v>
                </c:pt>
                <c:pt idx="696">
                  <c:v>7500</c:v>
                </c:pt>
                <c:pt idx="697">
                  <c:v>7500</c:v>
                </c:pt>
                <c:pt idx="698">
                  <c:v>7500</c:v>
                </c:pt>
                <c:pt idx="699">
                  <c:v>7500</c:v>
                </c:pt>
                <c:pt idx="700">
                  <c:v>7500</c:v>
                </c:pt>
                <c:pt idx="701">
                  <c:v>7500</c:v>
                </c:pt>
                <c:pt idx="702">
                  <c:v>7500</c:v>
                </c:pt>
                <c:pt idx="703">
                  <c:v>7500</c:v>
                </c:pt>
                <c:pt idx="704">
                  <c:v>7600</c:v>
                </c:pt>
                <c:pt idx="705">
                  <c:v>7600</c:v>
                </c:pt>
                <c:pt idx="706">
                  <c:v>8000</c:v>
                </c:pt>
                <c:pt idx="707">
                  <c:v>8000</c:v>
                </c:pt>
                <c:pt idx="708">
                  <c:v>8000</c:v>
                </c:pt>
                <c:pt idx="709">
                  <c:v>8000</c:v>
                </c:pt>
                <c:pt idx="710">
                  <c:v>8000</c:v>
                </c:pt>
                <c:pt idx="711">
                  <c:v>8000</c:v>
                </c:pt>
                <c:pt idx="712">
                  <c:v>8000</c:v>
                </c:pt>
                <c:pt idx="713">
                  <c:v>8000</c:v>
                </c:pt>
                <c:pt idx="714">
                  <c:v>8000</c:v>
                </c:pt>
                <c:pt idx="715">
                  <c:v>8000</c:v>
                </c:pt>
                <c:pt idx="716">
                  <c:v>8000</c:v>
                </c:pt>
                <c:pt idx="717">
                  <c:v>8000</c:v>
                </c:pt>
                <c:pt idx="718">
                  <c:v>8000</c:v>
                </c:pt>
                <c:pt idx="719">
                  <c:v>8000</c:v>
                </c:pt>
                <c:pt idx="720">
                  <c:v>8000</c:v>
                </c:pt>
                <c:pt idx="721">
                  <c:v>8000</c:v>
                </c:pt>
                <c:pt idx="722">
                  <c:v>8000</c:v>
                </c:pt>
                <c:pt idx="723">
                  <c:v>8000</c:v>
                </c:pt>
                <c:pt idx="724">
                  <c:v>8000</c:v>
                </c:pt>
                <c:pt idx="725">
                  <c:v>8000</c:v>
                </c:pt>
                <c:pt idx="726">
                  <c:v>8000</c:v>
                </c:pt>
                <c:pt idx="727">
                  <c:v>8000</c:v>
                </c:pt>
                <c:pt idx="728">
                  <c:v>8000</c:v>
                </c:pt>
                <c:pt idx="729">
                  <c:v>8000</c:v>
                </c:pt>
                <c:pt idx="730">
                  <c:v>8000</c:v>
                </c:pt>
                <c:pt idx="731">
                  <c:v>8000</c:v>
                </c:pt>
                <c:pt idx="732">
                  <c:v>8000</c:v>
                </c:pt>
                <c:pt idx="733">
                  <c:v>8000</c:v>
                </c:pt>
                <c:pt idx="734">
                  <c:v>8000</c:v>
                </c:pt>
                <c:pt idx="735">
                  <c:v>8000</c:v>
                </c:pt>
                <c:pt idx="736">
                  <c:v>8000</c:v>
                </c:pt>
                <c:pt idx="737">
                  <c:v>8000</c:v>
                </c:pt>
                <c:pt idx="738">
                  <c:v>8000</c:v>
                </c:pt>
                <c:pt idx="739">
                  <c:v>8000</c:v>
                </c:pt>
                <c:pt idx="740">
                  <c:v>8000</c:v>
                </c:pt>
                <c:pt idx="741">
                  <c:v>8000</c:v>
                </c:pt>
                <c:pt idx="742">
                  <c:v>8000</c:v>
                </c:pt>
                <c:pt idx="743">
                  <c:v>8000</c:v>
                </c:pt>
                <c:pt idx="744">
                  <c:v>8000</c:v>
                </c:pt>
                <c:pt idx="745">
                  <c:v>8000</c:v>
                </c:pt>
                <c:pt idx="746">
                  <c:v>8000</c:v>
                </c:pt>
                <c:pt idx="747">
                  <c:v>8000</c:v>
                </c:pt>
                <c:pt idx="748">
                  <c:v>8000</c:v>
                </c:pt>
                <c:pt idx="749">
                  <c:v>8000</c:v>
                </c:pt>
                <c:pt idx="750">
                  <c:v>8000</c:v>
                </c:pt>
                <c:pt idx="751">
                  <c:v>8000</c:v>
                </c:pt>
                <c:pt idx="752">
                  <c:v>8500</c:v>
                </c:pt>
                <c:pt idx="753">
                  <c:v>8500</c:v>
                </c:pt>
                <c:pt idx="754">
                  <c:v>8500</c:v>
                </c:pt>
                <c:pt idx="755">
                  <c:v>8500</c:v>
                </c:pt>
                <c:pt idx="756">
                  <c:v>8500</c:v>
                </c:pt>
                <c:pt idx="757">
                  <c:v>8500</c:v>
                </c:pt>
                <c:pt idx="758">
                  <c:v>9000</c:v>
                </c:pt>
                <c:pt idx="759">
                  <c:v>9000</c:v>
                </c:pt>
                <c:pt idx="760">
                  <c:v>9000</c:v>
                </c:pt>
                <c:pt idx="761">
                  <c:v>9000</c:v>
                </c:pt>
                <c:pt idx="762">
                  <c:v>9000</c:v>
                </c:pt>
                <c:pt idx="763">
                  <c:v>9000</c:v>
                </c:pt>
                <c:pt idx="764">
                  <c:v>9000</c:v>
                </c:pt>
                <c:pt idx="765">
                  <c:v>9000</c:v>
                </c:pt>
                <c:pt idx="766">
                  <c:v>9000</c:v>
                </c:pt>
                <c:pt idx="767">
                  <c:v>9000</c:v>
                </c:pt>
                <c:pt idx="768">
                  <c:v>9000</c:v>
                </c:pt>
                <c:pt idx="769">
                  <c:v>9000</c:v>
                </c:pt>
                <c:pt idx="770">
                  <c:v>9000</c:v>
                </c:pt>
                <c:pt idx="771">
                  <c:v>9000</c:v>
                </c:pt>
                <c:pt idx="772">
                  <c:v>9000</c:v>
                </c:pt>
                <c:pt idx="773">
                  <c:v>9000</c:v>
                </c:pt>
                <c:pt idx="774">
                  <c:v>9000</c:v>
                </c:pt>
                <c:pt idx="775">
                  <c:v>9000</c:v>
                </c:pt>
                <c:pt idx="776">
                  <c:v>9000</c:v>
                </c:pt>
                <c:pt idx="777">
                  <c:v>9000</c:v>
                </c:pt>
                <c:pt idx="778">
                  <c:v>9000</c:v>
                </c:pt>
                <c:pt idx="779">
                  <c:v>9000</c:v>
                </c:pt>
                <c:pt idx="780">
                  <c:v>9300</c:v>
                </c:pt>
                <c:pt idx="781">
                  <c:v>9300</c:v>
                </c:pt>
                <c:pt idx="782">
                  <c:v>10000</c:v>
                </c:pt>
                <c:pt idx="783">
                  <c:v>10000</c:v>
                </c:pt>
                <c:pt idx="784">
                  <c:v>10000</c:v>
                </c:pt>
                <c:pt idx="785">
                  <c:v>10000</c:v>
                </c:pt>
                <c:pt idx="786">
                  <c:v>10000</c:v>
                </c:pt>
                <c:pt idx="787">
                  <c:v>10000</c:v>
                </c:pt>
                <c:pt idx="788">
                  <c:v>10000</c:v>
                </c:pt>
                <c:pt idx="789">
                  <c:v>10000</c:v>
                </c:pt>
                <c:pt idx="790">
                  <c:v>10000</c:v>
                </c:pt>
                <c:pt idx="791">
                  <c:v>10000</c:v>
                </c:pt>
                <c:pt idx="792">
                  <c:v>10000</c:v>
                </c:pt>
                <c:pt idx="793">
                  <c:v>10000</c:v>
                </c:pt>
                <c:pt idx="794">
                  <c:v>10000</c:v>
                </c:pt>
                <c:pt idx="795">
                  <c:v>10000</c:v>
                </c:pt>
                <c:pt idx="796">
                  <c:v>10000</c:v>
                </c:pt>
                <c:pt idx="797">
                  <c:v>10000</c:v>
                </c:pt>
                <c:pt idx="798">
                  <c:v>10000</c:v>
                </c:pt>
                <c:pt idx="799">
                  <c:v>10000</c:v>
                </c:pt>
                <c:pt idx="800">
                  <c:v>10000</c:v>
                </c:pt>
                <c:pt idx="801">
                  <c:v>10000</c:v>
                </c:pt>
                <c:pt idx="802">
                  <c:v>10000</c:v>
                </c:pt>
                <c:pt idx="803">
                  <c:v>10000</c:v>
                </c:pt>
                <c:pt idx="804">
                  <c:v>10000</c:v>
                </c:pt>
                <c:pt idx="805">
                  <c:v>10000</c:v>
                </c:pt>
                <c:pt idx="806">
                  <c:v>10000</c:v>
                </c:pt>
                <c:pt idx="807">
                  <c:v>10000</c:v>
                </c:pt>
                <c:pt idx="808">
                  <c:v>10000</c:v>
                </c:pt>
                <c:pt idx="809">
                  <c:v>10000</c:v>
                </c:pt>
                <c:pt idx="810">
                  <c:v>10000</c:v>
                </c:pt>
                <c:pt idx="811">
                  <c:v>10000</c:v>
                </c:pt>
                <c:pt idx="812">
                  <c:v>10000</c:v>
                </c:pt>
                <c:pt idx="813">
                  <c:v>10000</c:v>
                </c:pt>
                <c:pt idx="814">
                  <c:v>10000</c:v>
                </c:pt>
                <c:pt idx="815">
                  <c:v>10000</c:v>
                </c:pt>
                <c:pt idx="816">
                  <c:v>10000</c:v>
                </c:pt>
                <c:pt idx="817">
                  <c:v>10000</c:v>
                </c:pt>
                <c:pt idx="818">
                  <c:v>10000</c:v>
                </c:pt>
                <c:pt idx="819">
                  <c:v>10000</c:v>
                </c:pt>
                <c:pt idx="820">
                  <c:v>10000</c:v>
                </c:pt>
                <c:pt idx="821">
                  <c:v>10000</c:v>
                </c:pt>
                <c:pt idx="822">
                  <c:v>10000</c:v>
                </c:pt>
                <c:pt idx="823">
                  <c:v>10000</c:v>
                </c:pt>
                <c:pt idx="824">
                  <c:v>10000</c:v>
                </c:pt>
                <c:pt idx="825">
                  <c:v>10000</c:v>
                </c:pt>
                <c:pt idx="826">
                  <c:v>10000</c:v>
                </c:pt>
                <c:pt idx="827">
                  <c:v>10000</c:v>
                </c:pt>
                <c:pt idx="828">
                  <c:v>10000</c:v>
                </c:pt>
                <c:pt idx="829">
                  <c:v>10000</c:v>
                </c:pt>
                <c:pt idx="830">
                  <c:v>10000</c:v>
                </c:pt>
                <c:pt idx="831">
                  <c:v>10000</c:v>
                </c:pt>
                <c:pt idx="832">
                  <c:v>10000</c:v>
                </c:pt>
                <c:pt idx="833">
                  <c:v>10000</c:v>
                </c:pt>
                <c:pt idx="834">
                  <c:v>10000</c:v>
                </c:pt>
                <c:pt idx="835">
                  <c:v>10000</c:v>
                </c:pt>
                <c:pt idx="836">
                  <c:v>10000</c:v>
                </c:pt>
                <c:pt idx="837">
                  <c:v>10000</c:v>
                </c:pt>
                <c:pt idx="838">
                  <c:v>10000</c:v>
                </c:pt>
                <c:pt idx="839">
                  <c:v>10000</c:v>
                </c:pt>
                <c:pt idx="840">
                  <c:v>10000</c:v>
                </c:pt>
                <c:pt idx="841">
                  <c:v>10000</c:v>
                </c:pt>
                <c:pt idx="842">
                  <c:v>10000</c:v>
                </c:pt>
                <c:pt idx="843">
                  <c:v>10000</c:v>
                </c:pt>
                <c:pt idx="844">
                  <c:v>10000</c:v>
                </c:pt>
                <c:pt idx="845">
                  <c:v>10000</c:v>
                </c:pt>
                <c:pt idx="846">
                  <c:v>10000</c:v>
                </c:pt>
                <c:pt idx="847">
                  <c:v>10000</c:v>
                </c:pt>
                <c:pt idx="848">
                  <c:v>10000</c:v>
                </c:pt>
                <c:pt idx="849">
                  <c:v>10000</c:v>
                </c:pt>
                <c:pt idx="850">
                  <c:v>10000</c:v>
                </c:pt>
                <c:pt idx="851">
                  <c:v>10000</c:v>
                </c:pt>
                <c:pt idx="852">
                  <c:v>10000</c:v>
                </c:pt>
                <c:pt idx="853">
                  <c:v>10000</c:v>
                </c:pt>
                <c:pt idx="854">
                  <c:v>10000</c:v>
                </c:pt>
                <c:pt idx="855">
                  <c:v>10000</c:v>
                </c:pt>
                <c:pt idx="856">
                  <c:v>10000</c:v>
                </c:pt>
                <c:pt idx="857">
                  <c:v>10000</c:v>
                </c:pt>
                <c:pt idx="858">
                  <c:v>10000</c:v>
                </c:pt>
                <c:pt idx="859">
                  <c:v>10000</c:v>
                </c:pt>
                <c:pt idx="860">
                  <c:v>10000</c:v>
                </c:pt>
                <c:pt idx="861">
                  <c:v>10000</c:v>
                </c:pt>
                <c:pt idx="862">
                  <c:v>10000</c:v>
                </c:pt>
                <c:pt idx="863">
                  <c:v>10000</c:v>
                </c:pt>
                <c:pt idx="864">
                  <c:v>10000</c:v>
                </c:pt>
                <c:pt idx="865">
                  <c:v>10000</c:v>
                </c:pt>
                <c:pt idx="866">
                  <c:v>10000</c:v>
                </c:pt>
                <c:pt idx="867">
                  <c:v>10000</c:v>
                </c:pt>
                <c:pt idx="868">
                  <c:v>10000</c:v>
                </c:pt>
                <c:pt idx="869">
                  <c:v>10000</c:v>
                </c:pt>
                <c:pt idx="870">
                  <c:v>10000</c:v>
                </c:pt>
                <c:pt idx="871">
                  <c:v>10000</c:v>
                </c:pt>
                <c:pt idx="872">
                  <c:v>10000</c:v>
                </c:pt>
                <c:pt idx="873">
                  <c:v>10000</c:v>
                </c:pt>
                <c:pt idx="874">
                  <c:v>10000</c:v>
                </c:pt>
                <c:pt idx="875">
                  <c:v>10000</c:v>
                </c:pt>
                <c:pt idx="876">
                  <c:v>10000</c:v>
                </c:pt>
                <c:pt idx="877">
                  <c:v>10000</c:v>
                </c:pt>
                <c:pt idx="878">
                  <c:v>10000</c:v>
                </c:pt>
                <c:pt idx="879">
                  <c:v>10000</c:v>
                </c:pt>
                <c:pt idx="880">
                  <c:v>10000</c:v>
                </c:pt>
                <c:pt idx="881">
                  <c:v>10000</c:v>
                </c:pt>
                <c:pt idx="882">
                  <c:v>10000</c:v>
                </c:pt>
                <c:pt idx="883">
                  <c:v>10000</c:v>
                </c:pt>
                <c:pt idx="884">
                  <c:v>10000</c:v>
                </c:pt>
                <c:pt idx="885">
                  <c:v>10000</c:v>
                </c:pt>
                <c:pt idx="886">
                  <c:v>10000</c:v>
                </c:pt>
                <c:pt idx="887">
                  <c:v>10000</c:v>
                </c:pt>
                <c:pt idx="888">
                  <c:v>10000</c:v>
                </c:pt>
                <c:pt idx="889">
                  <c:v>10000</c:v>
                </c:pt>
                <c:pt idx="890">
                  <c:v>10000</c:v>
                </c:pt>
                <c:pt idx="891">
                  <c:v>10000</c:v>
                </c:pt>
                <c:pt idx="892">
                  <c:v>10000</c:v>
                </c:pt>
                <c:pt idx="893">
                  <c:v>10000</c:v>
                </c:pt>
                <c:pt idx="894">
                  <c:v>10000</c:v>
                </c:pt>
                <c:pt idx="895">
                  <c:v>10000</c:v>
                </c:pt>
                <c:pt idx="896">
                  <c:v>10000</c:v>
                </c:pt>
                <c:pt idx="897">
                  <c:v>10000</c:v>
                </c:pt>
                <c:pt idx="898">
                  <c:v>10000</c:v>
                </c:pt>
                <c:pt idx="899">
                  <c:v>10000</c:v>
                </c:pt>
                <c:pt idx="900">
                  <c:v>10500</c:v>
                </c:pt>
                <c:pt idx="901">
                  <c:v>10500</c:v>
                </c:pt>
                <c:pt idx="902">
                  <c:v>11000</c:v>
                </c:pt>
                <c:pt idx="903">
                  <c:v>11000</c:v>
                </c:pt>
                <c:pt idx="904">
                  <c:v>11000</c:v>
                </c:pt>
                <c:pt idx="905">
                  <c:v>11000</c:v>
                </c:pt>
                <c:pt idx="906">
                  <c:v>11000</c:v>
                </c:pt>
                <c:pt idx="907">
                  <c:v>11000</c:v>
                </c:pt>
                <c:pt idx="908">
                  <c:v>11000</c:v>
                </c:pt>
                <c:pt idx="909">
                  <c:v>11000</c:v>
                </c:pt>
                <c:pt idx="910">
                  <c:v>11000</c:v>
                </c:pt>
                <c:pt idx="911">
                  <c:v>11000</c:v>
                </c:pt>
                <c:pt idx="912">
                  <c:v>11000</c:v>
                </c:pt>
                <c:pt idx="913">
                  <c:v>11000</c:v>
                </c:pt>
                <c:pt idx="914">
                  <c:v>11000</c:v>
                </c:pt>
                <c:pt idx="915">
                  <c:v>11000</c:v>
                </c:pt>
                <c:pt idx="916">
                  <c:v>11000</c:v>
                </c:pt>
                <c:pt idx="917">
                  <c:v>11000</c:v>
                </c:pt>
                <c:pt idx="918">
                  <c:v>11000</c:v>
                </c:pt>
                <c:pt idx="919">
                  <c:v>11000</c:v>
                </c:pt>
                <c:pt idx="920">
                  <c:v>11000</c:v>
                </c:pt>
                <c:pt idx="921">
                  <c:v>11000</c:v>
                </c:pt>
                <c:pt idx="922">
                  <c:v>11000</c:v>
                </c:pt>
                <c:pt idx="923">
                  <c:v>11000</c:v>
                </c:pt>
                <c:pt idx="924">
                  <c:v>11000</c:v>
                </c:pt>
                <c:pt idx="925">
                  <c:v>11000</c:v>
                </c:pt>
                <c:pt idx="926">
                  <c:v>11000</c:v>
                </c:pt>
                <c:pt idx="927">
                  <c:v>11000</c:v>
                </c:pt>
                <c:pt idx="928">
                  <c:v>11676</c:v>
                </c:pt>
                <c:pt idx="929">
                  <c:v>11676</c:v>
                </c:pt>
                <c:pt idx="930">
                  <c:v>11746</c:v>
                </c:pt>
                <c:pt idx="931">
                  <c:v>11746</c:v>
                </c:pt>
                <c:pt idx="932">
                  <c:v>12000</c:v>
                </c:pt>
                <c:pt idx="933">
                  <c:v>12000</c:v>
                </c:pt>
                <c:pt idx="934">
                  <c:v>12000</c:v>
                </c:pt>
                <c:pt idx="935">
                  <c:v>12000</c:v>
                </c:pt>
                <c:pt idx="936">
                  <c:v>12000</c:v>
                </c:pt>
                <c:pt idx="937">
                  <c:v>12000</c:v>
                </c:pt>
                <c:pt idx="938">
                  <c:v>12000</c:v>
                </c:pt>
                <c:pt idx="939">
                  <c:v>12000</c:v>
                </c:pt>
                <c:pt idx="940">
                  <c:v>12000</c:v>
                </c:pt>
                <c:pt idx="941">
                  <c:v>12000</c:v>
                </c:pt>
                <c:pt idx="942">
                  <c:v>12000</c:v>
                </c:pt>
                <c:pt idx="943">
                  <c:v>12000</c:v>
                </c:pt>
                <c:pt idx="944">
                  <c:v>12000</c:v>
                </c:pt>
                <c:pt idx="945">
                  <c:v>12000</c:v>
                </c:pt>
                <c:pt idx="946">
                  <c:v>12000</c:v>
                </c:pt>
                <c:pt idx="947">
                  <c:v>12000</c:v>
                </c:pt>
                <c:pt idx="948">
                  <c:v>12000</c:v>
                </c:pt>
                <c:pt idx="949">
                  <c:v>12000</c:v>
                </c:pt>
                <c:pt idx="950">
                  <c:v>12000</c:v>
                </c:pt>
                <c:pt idx="951">
                  <c:v>12000</c:v>
                </c:pt>
                <c:pt idx="952">
                  <c:v>12000</c:v>
                </c:pt>
                <c:pt idx="953">
                  <c:v>12000</c:v>
                </c:pt>
                <c:pt idx="954">
                  <c:v>12000</c:v>
                </c:pt>
                <c:pt idx="955">
                  <c:v>12000</c:v>
                </c:pt>
                <c:pt idx="956">
                  <c:v>12000</c:v>
                </c:pt>
                <c:pt idx="957">
                  <c:v>12000</c:v>
                </c:pt>
                <c:pt idx="958">
                  <c:v>12000</c:v>
                </c:pt>
                <c:pt idx="959">
                  <c:v>12000</c:v>
                </c:pt>
                <c:pt idx="960">
                  <c:v>12000</c:v>
                </c:pt>
                <c:pt idx="961">
                  <c:v>12000</c:v>
                </c:pt>
                <c:pt idx="962">
                  <c:v>12000</c:v>
                </c:pt>
                <c:pt idx="963">
                  <c:v>12000</c:v>
                </c:pt>
                <c:pt idx="964">
                  <c:v>12000</c:v>
                </c:pt>
                <c:pt idx="965">
                  <c:v>12000</c:v>
                </c:pt>
                <c:pt idx="966">
                  <c:v>12000</c:v>
                </c:pt>
                <c:pt idx="967">
                  <c:v>12000</c:v>
                </c:pt>
                <c:pt idx="968">
                  <c:v>12000</c:v>
                </c:pt>
                <c:pt idx="969">
                  <c:v>12000</c:v>
                </c:pt>
                <c:pt idx="970">
                  <c:v>12000</c:v>
                </c:pt>
                <c:pt idx="971">
                  <c:v>12000</c:v>
                </c:pt>
                <c:pt idx="972">
                  <c:v>12000</c:v>
                </c:pt>
                <c:pt idx="973">
                  <c:v>12000</c:v>
                </c:pt>
                <c:pt idx="974">
                  <c:v>12000</c:v>
                </c:pt>
                <c:pt idx="975">
                  <c:v>12000</c:v>
                </c:pt>
                <c:pt idx="976">
                  <c:v>12000</c:v>
                </c:pt>
                <c:pt idx="977">
                  <c:v>12000</c:v>
                </c:pt>
                <c:pt idx="978">
                  <c:v>12000</c:v>
                </c:pt>
                <c:pt idx="979">
                  <c:v>12000</c:v>
                </c:pt>
                <c:pt idx="980">
                  <c:v>12000</c:v>
                </c:pt>
                <c:pt idx="981">
                  <c:v>12000</c:v>
                </c:pt>
                <c:pt idx="982">
                  <c:v>12000</c:v>
                </c:pt>
                <c:pt idx="983">
                  <c:v>12000</c:v>
                </c:pt>
                <c:pt idx="984">
                  <c:v>12200</c:v>
                </c:pt>
                <c:pt idx="985">
                  <c:v>12200</c:v>
                </c:pt>
                <c:pt idx="986">
                  <c:v>12600</c:v>
                </c:pt>
                <c:pt idx="987">
                  <c:v>12600</c:v>
                </c:pt>
                <c:pt idx="988">
                  <c:v>13000</c:v>
                </c:pt>
                <c:pt idx="989">
                  <c:v>13000</c:v>
                </c:pt>
                <c:pt idx="990">
                  <c:v>13000</c:v>
                </c:pt>
                <c:pt idx="991">
                  <c:v>13000</c:v>
                </c:pt>
                <c:pt idx="992">
                  <c:v>13000</c:v>
                </c:pt>
                <c:pt idx="993">
                  <c:v>13000</c:v>
                </c:pt>
                <c:pt idx="994">
                  <c:v>13000</c:v>
                </c:pt>
                <c:pt idx="995">
                  <c:v>13000</c:v>
                </c:pt>
                <c:pt idx="996">
                  <c:v>13000</c:v>
                </c:pt>
                <c:pt idx="997">
                  <c:v>13000</c:v>
                </c:pt>
                <c:pt idx="998">
                  <c:v>13000</c:v>
                </c:pt>
                <c:pt idx="999">
                  <c:v>13000</c:v>
                </c:pt>
                <c:pt idx="1000">
                  <c:v>13000</c:v>
                </c:pt>
                <c:pt idx="1001">
                  <c:v>13000</c:v>
                </c:pt>
                <c:pt idx="1002">
                  <c:v>13000</c:v>
                </c:pt>
                <c:pt idx="1003">
                  <c:v>13000</c:v>
                </c:pt>
                <c:pt idx="1004">
                  <c:v>13000</c:v>
                </c:pt>
                <c:pt idx="1005">
                  <c:v>13000</c:v>
                </c:pt>
                <c:pt idx="1006">
                  <c:v>13000</c:v>
                </c:pt>
                <c:pt idx="1007">
                  <c:v>13000</c:v>
                </c:pt>
                <c:pt idx="1008">
                  <c:v>13000</c:v>
                </c:pt>
                <c:pt idx="1009">
                  <c:v>13000</c:v>
                </c:pt>
                <c:pt idx="1010">
                  <c:v>13000</c:v>
                </c:pt>
                <c:pt idx="1011">
                  <c:v>13000</c:v>
                </c:pt>
                <c:pt idx="1012">
                  <c:v>13000</c:v>
                </c:pt>
                <c:pt idx="1013">
                  <c:v>13000</c:v>
                </c:pt>
                <c:pt idx="1014">
                  <c:v>13000</c:v>
                </c:pt>
                <c:pt idx="1015">
                  <c:v>13000</c:v>
                </c:pt>
                <c:pt idx="1016">
                  <c:v>13000</c:v>
                </c:pt>
                <c:pt idx="1017">
                  <c:v>13000</c:v>
                </c:pt>
                <c:pt idx="1018">
                  <c:v>13000</c:v>
                </c:pt>
                <c:pt idx="1019">
                  <c:v>13000</c:v>
                </c:pt>
                <c:pt idx="1020">
                  <c:v>13500</c:v>
                </c:pt>
                <c:pt idx="1021">
                  <c:v>13500</c:v>
                </c:pt>
                <c:pt idx="1022">
                  <c:v>13500</c:v>
                </c:pt>
                <c:pt idx="1023">
                  <c:v>13500</c:v>
                </c:pt>
                <c:pt idx="1024">
                  <c:v>13700</c:v>
                </c:pt>
                <c:pt idx="1025">
                  <c:v>13700</c:v>
                </c:pt>
                <c:pt idx="1026">
                  <c:v>14000</c:v>
                </c:pt>
                <c:pt idx="1027">
                  <c:v>14000</c:v>
                </c:pt>
                <c:pt idx="1028">
                  <c:v>14000</c:v>
                </c:pt>
                <c:pt idx="1029">
                  <c:v>14000</c:v>
                </c:pt>
                <c:pt idx="1030">
                  <c:v>14000</c:v>
                </c:pt>
                <c:pt idx="1031">
                  <c:v>14000</c:v>
                </c:pt>
                <c:pt idx="1032">
                  <c:v>14000</c:v>
                </c:pt>
                <c:pt idx="1033">
                  <c:v>14000</c:v>
                </c:pt>
                <c:pt idx="1034">
                  <c:v>14000</c:v>
                </c:pt>
                <c:pt idx="1035">
                  <c:v>14000</c:v>
                </c:pt>
                <c:pt idx="1036">
                  <c:v>14000</c:v>
                </c:pt>
                <c:pt idx="1037">
                  <c:v>14000</c:v>
                </c:pt>
                <c:pt idx="1038">
                  <c:v>14000</c:v>
                </c:pt>
                <c:pt idx="1039">
                  <c:v>14000</c:v>
                </c:pt>
                <c:pt idx="1040">
                  <c:v>14000</c:v>
                </c:pt>
                <c:pt idx="1041">
                  <c:v>14000</c:v>
                </c:pt>
                <c:pt idx="1042">
                  <c:v>14000</c:v>
                </c:pt>
                <c:pt idx="1043">
                  <c:v>14000</c:v>
                </c:pt>
                <c:pt idx="1044">
                  <c:v>14000</c:v>
                </c:pt>
                <c:pt idx="1045">
                  <c:v>14000</c:v>
                </c:pt>
                <c:pt idx="1046">
                  <c:v>14000</c:v>
                </c:pt>
                <c:pt idx="1047">
                  <c:v>14000</c:v>
                </c:pt>
                <c:pt idx="1048">
                  <c:v>14000</c:v>
                </c:pt>
                <c:pt idx="1049">
                  <c:v>14000</c:v>
                </c:pt>
                <c:pt idx="1050">
                  <c:v>14000</c:v>
                </c:pt>
                <c:pt idx="1051">
                  <c:v>14000</c:v>
                </c:pt>
                <c:pt idx="1052">
                  <c:v>14000</c:v>
                </c:pt>
                <c:pt idx="1053">
                  <c:v>14000</c:v>
                </c:pt>
                <c:pt idx="1054">
                  <c:v>14000</c:v>
                </c:pt>
                <c:pt idx="1055">
                  <c:v>14000</c:v>
                </c:pt>
                <c:pt idx="1056">
                  <c:v>14000</c:v>
                </c:pt>
                <c:pt idx="1057">
                  <c:v>14000</c:v>
                </c:pt>
                <c:pt idx="1058">
                  <c:v>14000</c:v>
                </c:pt>
                <c:pt idx="1059">
                  <c:v>14000</c:v>
                </c:pt>
                <c:pt idx="1060">
                  <c:v>14000</c:v>
                </c:pt>
                <c:pt idx="1061">
                  <c:v>14000</c:v>
                </c:pt>
                <c:pt idx="1062">
                  <c:v>14000</c:v>
                </c:pt>
                <c:pt idx="1063">
                  <c:v>14000</c:v>
                </c:pt>
                <c:pt idx="1064">
                  <c:v>14000</c:v>
                </c:pt>
                <c:pt idx="1065">
                  <c:v>14000</c:v>
                </c:pt>
                <c:pt idx="1066">
                  <c:v>14000</c:v>
                </c:pt>
                <c:pt idx="1067">
                  <c:v>14000</c:v>
                </c:pt>
                <c:pt idx="1068">
                  <c:v>14000</c:v>
                </c:pt>
                <c:pt idx="1069">
                  <c:v>14000</c:v>
                </c:pt>
                <c:pt idx="1070">
                  <c:v>14500</c:v>
                </c:pt>
                <c:pt idx="1071">
                  <c:v>14500</c:v>
                </c:pt>
                <c:pt idx="1072">
                  <c:v>14500</c:v>
                </c:pt>
                <c:pt idx="1073">
                  <c:v>14500</c:v>
                </c:pt>
                <c:pt idx="1074">
                  <c:v>14500</c:v>
                </c:pt>
                <c:pt idx="1075">
                  <c:v>14500</c:v>
                </c:pt>
                <c:pt idx="1076">
                  <c:v>14500</c:v>
                </c:pt>
                <c:pt idx="1077">
                  <c:v>14500</c:v>
                </c:pt>
                <c:pt idx="1078">
                  <c:v>14500</c:v>
                </c:pt>
                <c:pt idx="1079">
                  <c:v>14500</c:v>
                </c:pt>
                <c:pt idx="1080">
                  <c:v>15000</c:v>
                </c:pt>
                <c:pt idx="1081">
                  <c:v>15000</c:v>
                </c:pt>
                <c:pt idx="1082">
                  <c:v>15000</c:v>
                </c:pt>
                <c:pt idx="1083">
                  <c:v>15000</c:v>
                </c:pt>
                <c:pt idx="1084">
                  <c:v>15000</c:v>
                </c:pt>
                <c:pt idx="1085">
                  <c:v>15000</c:v>
                </c:pt>
                <c:pt idx="1086">
                  <c:v>15000</c:v>
                </c:pt>
                <c:pt idx="1087">
                  <c:v>15000</c:v>
                </c:pt>
                <c:pt idx="1088">
                  <c:v>15000</c:v>
                </c:pt>
                <c:pt idx="1089">
                  <c:v>15000</c:v>
                </c:pt>
                <c:pt idx="1090">
                  <c:v>15000</c:v>
                </c:pt>
                <c:pt idx="1091">
                  <c:v>15000</c:v>
                </c:pt>
                <c:pt idx="1092">
                  <c:v>15000</c:v>
                </c:pt>
                <c:pt idx="1093">
                  <c:v>15000</c:v>
                </c:pt>
                <c:pt idx="1094">
                  <c:v>15000</c:v>
                </c:pt>
                <c:pt idx="1095">
                  <c:v>15000</c:v>
                </c:pt>
                <c:pt idx="1096">
                  <c:v>15000</c:v>
                </c:pt>
                <c:pt idx="1097">
                  <c:v>15000</c:v>
                </c:pt>
                <c:pt idx="1098">
                  <c:v>15000</c:v>
                </c:pt>
                <c:pt idx="1099">
                  <c:v>15000</c:v>
                </c:pt>
                <c:pt idx="1100">
                  <c:v>15000</c:v>
                </c:pt>
                <c:pt idx="1101">
                  <c:v>15000</c:v>
                </c:pt>
                <c:pt idx="1102">
                  <c:v>15000</c:v>
                </c:pt>
                <c:pt idx="1103">
                  <c:v>15000</c:v>
                </c:pt>
                <c:pt idx="1104">
                  <c:v>15000</c:v>
                </c:pt>
                <c:pt idx="1105">
                  <c:v>15000</c:v>
                </c:pt>
                <c:pt idx="1106">
                  <c:v>15000</c:v>
                </c:pt>
                <c:pt idx="1107">
                  <c:v>15000</c:v>
                </c:pt>
                <c:pt idx="1108">
                  <c:v>15000</c:v>
                </c:pt>
                <c:pt idx="1109">
                  <c:v>15000</c:v>
                </c:pt>
                <c:pt idx="1110">
                  <c:v>15000</c:v>
                </c:pt>
                <c:pt idx="1111">
                  <c:v>15000</c:v>
                </c:pt>
                <c:pt idx="1112">
                  <c:v>15000</c:v>
                </c:pt>
                <c:pt idx="1113">
                  <c:v>15000</c:v>
                </c:pt>
                <c:pt idx="1114">
                  <c:v>15000</c:v>
                </c:pt>
                <c:pt idx="1115">
                  <c:v>15000</c:v>
                </c:pt>
                <c:pt idx="1116">
                  <c:v>15000</c:v>
                </c:pt>
                <c:pt idx="1117">
                  <c:v>15000</c:v>
                </c:pt>
                <c:pt idx="1118">
                  <c:v>15000</c:v>
                </c:pt>
                <c:pt idx="1119">
                  <c:v>15000</c:v>
                </c:pt>
                <c:pt idx="1120">
                  <c:v>15000</c:v>
                </c:pt>
                <c:pt idx="1121">
                  <c:v>15000</c:v>
                </c:pt>
                <c:pt idx="1122">
                  <c:v>15000</c:v>
                </c:pt>
                <c:pt idx="1123">
                  <c:v>15000</c:v>
                </c:pt>
                <c:pt idx="1124">
                  <c:v>15000</c:v>
                </c:pt>
                <c:pt idx="1125">
                  <c:v>15000</c:v>
                </c:pt>
                <c:pt idx="1126">
                  <c:v>15000</c:v>
                </c:pt>
                <c:pt idx="1127">
                  <c:v>15000</c:v>
                </c:pt>
                <c:pt idx="1128">
                  <c:v>15000</c:v>
                </c:pt>
                <c:pt idx="1129">
                  <c:v>15000</c:v>
                </c:pt>
                <c:pt idx="1130">
                  <c:v>15000</c:v>
                </c:pt>
                <c:pt idx="1131">
                  <c:v>15000</c:v>
                </c:pt>
                <c:pt idx="1132">
                  <c:v>15000</c:v>
                </c:pt>
                <c:pt idx="1133">
                  <c:v>15000</c:v>
                </c:pt>
                <c:pt idx="1134">
                  <c:v>15000</c:v>
                </c:pt>
                <c:pt idx="1135">
                  <c:v>15000</c:v>
                </c:pt>
                <c:pt idx="1136">
                  <c:v>15000</c:v>
                </c:pt>
                <c:pt idx="1137">
                  <c:v>15000</c:v>
                </c:pt>
                <c:pt idx="1138">
                  <c:v>15000</c:v>
                </c:pt>
                <c:pt idx="1139">
                  <c:v>15000</c:v>
                </c:pt>
                <c:pt idx="1140">
                  <c:v>15000</c:v>
                </c:pt>
                <c:pt idx="1141">
                  <c:v>15000</c:v>
                </c:pt>
                <c:pt idx="1142">
                  <c:v>15000</c:v>
                </c:pt>
                <c:pt idx="1143">
                  <c:v>15000</c:v>
                </c:pt>
                <c:pt idx="1144">
                  <c:v>15000</c:v>
                </c:pt>
                <c:pt idx="1145">
                  <c:v>15000</c:v>
                </c:pt>
                <c:pt idx="1146">
                  <c:v>15000</c:v>
                </c:pt>
                <c:pt idx="1147">
                  <c:v>15000</c:v>
                </c:pt>
                <c:pt idx="1148">
                  <c:v>15000</c:v>
                </c:pt>
                <c:pt idx="1149">
                  <c:v>15000</c:v>
                </c:pt>
                <c:pt idx="1150">
                  <c:v>15000</c:v>
                </c:pt>
                <c:pt idx="1151">
                  <c:v>15000</c:v>
                </c:pt>
                <c:pt idx="1152">
                  <c:v>15000</c:v>
                </c:pt>
                <c:pt idx="1153">
                  <c:v>15000</c:v>
                </c:pt>
                <c:pt idx="1154">
                  <c:v>15000</c:v>
                </c:pt>
                <c:pt idx="1155">
                  <c:v>15000</c:v>
                </c:pt>
                <c:pt idx="1156">
                  <c:v>15000</c:v>
                </c:pt>
                <c:pt idx="1157">
                  <c:v>15000</c:v>
                </c:pt>
                <c:pt idx="1158">
                  <c:v>15000</c:v>
                </c:pt>
                <c:pt idx="1159">
                  <c:v>15000</c:v>
                </c:pt>
                <c:pt idx="1160">
                  <c:v>15000</c:v>
                </c:pt>
                <c:pt idx="1161">
                  <c:v>15000</c:v>
                </c:pt>
                <c:pt idx="1162">
                  <c:v>15000</c:v>
                </c:pt>
                <c:pt idx="1163">
                  <c:v>15000</c:v>
                </c:pt>
                <c:pt idx="1164">
                  <c:v>15000</c:v>
                </c:pt>
                <c:pt idx="1165">
                  <c:v>15000</c:v>
                </c:pt>
                <c:pt idx="1166">
                  <c:v>15000</c:v>
                </c:pt>
                <c:pt idx="1167">
                  <c:v>15000</c:v>
                </c:pt>
                <c:pt idx="1168">
                  <c:v>15000</c:v>
                </c:pt>
                <c:pt idx="1169">
                  <c:v>15000</c:v>
                </c:pt>
                <c:pt idx="1170">
                  <c:v>15000</c:v>
                </c:pt>
                <c:pt idx="1171">
                  <c:v>15000</c:v>
                </c:pt>
                <c:pt idx="1172">
                  <c:v>15000</c:v>
                </c:pt>
                <c:pt idx="1173">
                  <c:v>15000</c:v>
                </c:pt>
                <c:pt idx="1174">
                  <c:v>15000</c:v>
                </c:pt>
                <c:pt idx="1175">
                  <c:v>15000</c:v>
                </c:pt>
                <c:pt idx="1176">
                  <c:v>15000</c:v>
                </c:pt>
                <c:pt idx="1177">
                  <c:v>15000</c:v>
                </c:pt>
                <c:pt idx="1178">
                  <c:v>15000</c:v>
                </c:pt>
                <c:pt idx="1179">
                  <c:v>15000</c:v>
                </c:pt>
                <c:pt idx="1180">
                  <c:v>15000</c:v>
                </c:pt>
                <c:pt idx="1181">
                  <c:v>15000</c:v>
                </c:pt>
                <c:pt idx="1182">
                  <c:v>15000</c:v>
                </c:pt>
                <c:pt idx="1183">
                  <c:v>15000</c:v>
                </c:pt>
                <c:pt idx="1184">
                  <c:v>15000</c:v>
                </c:pt>
                <c:pt idx="1185">
                  <c:v>15000</c:v>
                </c:pt>
                <c:pt idx="1186">
                  <c:v>15000</c:v>
                </c:pt>
                <c:pt idx="1187">
                  <c:v>15000</c:v>
                </c:pt>
                <c:pt idx="1188">
                  <c:v>15000</c:v>
                </c:pt>
                <c:pt idx="1189">
                  <c:v>15000</c:v>
                </c:pt>
                <c:pt idx="1190">
                  <c:v>15000</c:v>
                </c:pt>
                <c:pt idx="1191">
                  <c:v>15000</c:v>
                </c:pt>
                <c:pt idx="1192">
                  <c:v>15125</c:v>
                </c:pt>
                <c:pt idx="1193">
                  <c:v>15125</c:v>
                </c:pt>
                <c:pt idx="1194">
                  <c:v>15500</c:v>
                </c:pt>
                <c:pt idx="1195">
                  <c:v>15500</c:v>
                </c:pt>
                <c:pt idx="1196">
                  <c:v>15500</c:v>
                </c:pt>
                <c:pt idx="1197">
                  <c:v>15500</c:v>
                </c:pt>
                <c:pt idx="1198">
                  <c:v>15677</c:v>
                </c:pt>
                <c:pt idx="1199">
                  <c:v>15677</c:v>
                </c:pt>
                <c:pt idx="1200">
                  <c:v>16000</c:v>
                </c:pt>
                <c:pt idx="1201">
                  <c:v>16000</c:v>
                </c:pt>
                <c:pt idx="1202">
                  <c:v>16000</c:v>
                </c:pt>
                <c:pt idx="1203">
                  <c:v>16000</c:v>
                </c:pt>
                <c:pt idx="1204">
                  <c:v>16000</c:v>
                </c:pt>
                <c:pt idx="1205">
                  <c:v>16000</c:v>
                </c:pt>
                <c:pt idx="1206">
                  <c:v>16000</c:v>
                </c:pt>
                <c:pt idx="1207">
                  <c:v>16000</c:v>
                </c:pt>
                <c:pt idx="1208">
                  <c:v>16000</c:v>
                </c:pt>
                <c:pt idx="1209">
                  <c:v>16000</c:v>
                </c:pt>
                <c:pt idx="1210">
                  <c:v>16000</c:v>
                </c:pt>
                <c:pt idx="1211">
                  <c:v>16000</c:v>
                </c:pt>
                <c:pt idx="1212">
                  <c:v>16000</c:v>
                </c:pt>
                <c:pt idx="1213">
                  <c:v>16000</c:v>
                </c:pt>
                <c:pt idx="1214">
                  <c:v>16000</c:v>
                </c:pt>
                <c:pt idx="1215">
                  <c:v>16000</c:v>
                </c:pt>
                <c:pt idx="1216">
                  <c:v>16000</c:v>
                </c:pt>
                <c:pt idx="1217">
                  <c:v>16000</c:v>
                </c:pt>
                <c:pt idx="1218">
                  <c:v>16000</c:v>
                </c:pt>
                <c:pt idx="1219">
                  <c:v>16000</c:v>
                </c:pt>
                <c:pt idx="1220">
                  <c:v>16000</c:v>
                </c:pt>
                <c:pt idx="1221">
                  <c:v>16000</c:v>
                </c:pt>
                <c:pt idx="1222">
                  <c:v>16000</c:v>
                </c:pt>
                <c:pt idx="1223">
                  <c:v>16000</c:v>
                </c:pt>
                <c:pt idx="1224">
                  <c:v>16000</c:v>
                </c:pt>
                <c:pt idx="1225">
                  <c:v>16000</c:v>
                </c:pt>
                <c:pt idx="1226">
                  <c:v>16250</c:v>
                </c:pt>
                <c:pt idx="1227">
                  <c:v>16250</c:v>
                </c:pt>
                <c:pt idx="1228">
                  <c:v>16500</c:v>
                </c:pt>
                <c:pt idx="1229">
                  <c:v>16500</c:v>
                </c:pt>
                <c:pt idx="1230">
                  <c:v>16500</c:v>
                </c:pt>
                <c:pt idx="1231">
                  <c:v>16500</c:v>
                </c:pt>
                <c:pt idx="1232">
                  <c:v>16700</c:v>
                </c:pt>
                <c:pt idx="1233">
                  <c:v>16700</c:v>
                </c:pt>
                <c:pt idx="1234">
                  <c:v>17000</c:v>
                </c:pt>
                <c:pt idx="1235">
                  <c:v>17000</c:v>
                </c:pt>
                <c:pt idx="1236">
                  <c:v>17000</c:v>
                </c:pt>
                <c:pt idx="1237">
                  <c:v>17000</c:v>
                </c:pt>
                <c:pt idx="1238">
                  <c:v>17000</c:v>
                </c:pt>
                <c:pt idx="1239">
                  <c:v>17000</c:v>
                </c:pt>
                <c:pt idx="1240">
                  <c:v>17000</c:v>
                </c:pt>
                <c:pt idx="1241">
                  <c:v>17000</c:v>
                </c:pt>
                <c:pt idx="1242">
                  <c:v>17000</c:v>
                </c:pt>
                <c:pt idx="1243">
                  <c:v>17000</c:v>
                </c:pt>
                <c:pt idx="1244">
                  <c:v>17000</c:v>
                </c:pt>
                <c:pt idx="1245">
                  <c:v>17000</c:v>
                </c:pt>
                <c:pt idx="1246">
                  <c:v>17000</c:v>
                </c:pt>
                <c:pt idx="1247">
                  <c:v>17000</c:v>
                </c:pt>
                <c:pt idx="1248">
                  <c:v>17000</c:v>
                </c:pt>
                <c:pt idx="1249">
                  <c:v>17000</c:v>
                </c:pt>
                <c:pt idx="1250">
                  <c:v>17000</c:v>
                </c:pt>
                <c:pt idx="1251">
                  <c:v>17000</c:v>
                </c:pt>
                <c:pt idx="1252">
                  <c:v>17000</c:v>
                </c:pt>
                <c:pt idx="1253">
                  <c:v>17000</c:v>
                </c:pt>
                <c:pt idx="1254">
                  <c:v>17000</c:v>
                </c:pt>
                <c:pt idx="1255">
                  <c:v>17000</c:v>
                </c:pt>
                <c:pt idx="1256">
                  <c:v>17000</c:v>
                </c:pt>
                <c:pt idx="1257">
                  <c:v>17000</c:v>
                </c:pt>
                <c:pt idx="1258">
                  <c:v>17500</c:v>
                </c:pt>
                <c:pt idx="1259">
                  <c:v>17500</c:v>
                </c:pt>
                <c:pt idx="1260">
                  <c:v>17500</c:v>
                </c:pt>
                <c:pt idx="1261">
                  <c:v>17500</c:v>
                </c:pt>
                <c:pt idx="1262">
                  <c:v>17600</c:v>
                </c:pt>
                <c:pt idx="1263">
                  <c:v>17600</c:v>
                </c:pt>
                <c:pt idx="1264">
                  <c:v>18000</c:v>
                </c:pt>
                <c:pt idx="1265">
                  <c:v>18000</c:v>
                </c:pt>
                <c:pt idx="1266">
                  <c:v>18000</c:v>
                </c:pt>
                <c:pt idx="1267">
                  <c:v>18000</c:v>
                </c:pt>
                <c:pt idx="1268">
                  <c:v>18000</c:v>
                </c:pt>
                <c:pt idx="1269">
                  <c:v>18000</c:v>
                </c:pt>
                <c:pt idx="1270">
                  <c:v>18000</c:v>
                </c:pt>
                <c:pt idx="1271">
                  <c:v>18000</c:v>
                </c:pt>
                <c:pt idx="1272">
                  <c:v>18000</c:v>
                </c:pt>
                <c:pt idx="1273">
                  <c:v>18000</c:v>
                </c:pt>
                <c:pt idx="1274">
                  <c:v>18000</c:v>
                </c:pt>
                <c:pt idx="1275">
                  <c:v>18000</c:v>
                </c:pt>
                <c:pt idx="1276">
                  <c:v>18000</c:v>
                </c:pt>
                <c:pt idx="1277">
                  <c:v>18000</c:v>
                </c:pt>
                <c:pt idx="1278">
                  <c:v>18000</c:v>
                </c:pt>
                <c:pt idx="1279">
                  <c:v>18000</c:v>
                </c:pt>
                <c:pt idx="1280">
                  <c:v>18000</c:v>
                </c:pt>
                <c:pt idx="1281">
                  <c:v>18000</c:v>
                </c:pt>
                <c:pt idx="1282">
                  <c:v>18000</c:v>
                </c:pt>
                <c:pt idx="1283">
                  <c:v>18000</c:v>
                </c:pt>
                <c:pt idx="1284">
                  <c:v>18000</c:v>
                </c:pt>
                <c:pt idx="1285">
                  <c:v>18000</c:v>
                </c:pt>
                <c:pt idx="1286">
                  <c:v>18000</c:v>
                </c:pt>
                <c:pt idx="1287">
                  <c:v>18000</c:v>
                </c:pt>
                <c:pt idx="1288">
                  <c:v>18000</c:v>
                </c:pt>
                <c:pt idx="1289">
                  <c:v>18000</c:v>
                </c:pt>
                <c:pt idx="1290">
                  <c:v>18000</c:v>
                </c:pt>
                <c:pt idx="1291">
                  <c:v>18000</c:v>
                </c:pt>
                <c:pt idx="1292">
                  <c:v>18000</c:v>
                </c:pt>
                <c:pt idx="1293">
                  <c:v>18000</c:v>
                </c:pt>
                <c:pt idx="1294">
                  <c:v>18000</c:v>
                </c:pt>
                <c:pt idx="1295">
                  <c:v>18000</c:v>
                </c:pt>
                <c:pt idx="1296">
                  <c:v>19000</c:v>
                </c:pt>
                <c:pt idx="1297">
                  <c:v>19000</c:v>
                </c:pt>
                <c:pt idx="1298">
                  <c:v>19000</c:v>
                </c:pt>
                <c:pt idx="1299">
                  <c:v>19000</c:v>
                </c:pt>
                <c:pt idx="1300">
                  <c:v>19000</c:v>
                </c:pt>
                <c:pt idx="1301">
                  <c:v>19000</c:v>
                </c:pt>
                <c:pt idx="1302">
                  <c:v>19000</c:v>
                </c:pt>
                <c:pt idx="1303">
                  <c:v>19000</c:v>
                </c:pt>
                <c:pt idx="1304">
                  <c:v>19000</c:v>
                </c:pt>
                <c:pt idx="1305">
                  <c:v>19000</c:v>
                </c:pt>
                <c:pt idx="1306">
                  <c:v>19000</c:v>
                </c:pt>
                <c:pt idx="1307">
                  <c:v>19000</c:v>
                </c:pt>
                <c:pt idx="1308">
                  <c:v>19000</c:v>
                </c:pt>
                <c:pt idx="1309">
                  <c:v>19000</c:v>
                </c:pt>
                <c:pt idx="1310">
                  <c:v>19000</c:v>
                </c:pt>
                <c:pt idx="1311">
                  <c:v>19000</c:v>
                </c:pt>
                <c:pt idx="1312">
                  <c:v>19000</c:v>
                </c:pt>
                <c:pt idx="1313">
                  <c:v>19000</c:v>
                </c:pt>
                <c:pt idx="1314">
                  <c:v>20000</c:v>
                </c:pt>
                <c:pt idx="1315">
                  <c:v>20000</c:v>
                </c:pt>
                <c:pt idx="1316">
                  <c:v>20000</c:v>
                </c:pt>
                <c:pt idx="1317">
                  <c:v>20000</c:v>
                </c:pt>
                <c:pt idx="1318">
                  <c:v>20000</c:v>
                </c:pt>
                <c:pt idx="1319">
                  <c:v>20000</c:v>
                </c:pt>
                <c:pt idx="1320">
                  <c:v>20000</c:v>
                </c:pt>
                <c:pt idx="1321">
                  <c:v>20000</c:v>
                </c:pt>
                <c:pt idx="1322">
                  <c:v>20000</c:v>
                </c:pt>
                <c:pt idx="1323">
                  <c:v>20000</c:v>
                </c:pt>
                <c:pt idx="1324">
                  <c:v>20000</c:v>
                </c:pt>
                <c:pt idx="1325">
                  <c:v>20000</c:v>
                </c:pt>
                <c:pt idx="1326">
                  <c:v>20000</c:v>
                </c:pt>
                <c:pt idx="1327">
                  <c:v>20000</c:v>
                </c:pt>
                <c:pt idx="1328">
                  <c:v>20000</c:v>
                </c:pt>
                <c:pt idx="1329">
                  <c:v>20000</c:v>
                </c:pt>
                <c:pt idx="1330">
                  <c:v>20000</c:v>
                </c:pt>
                <c:pt idx="1331">
                  <c:v>20000</c:v>
                </c:pt>
                <c:pt idx="1332">
                  <c:v>20000</c:v>
                </c:pt>
                <c:pt idx="1333">
                  <c:v>20000</c:v>
                </c:pt>
                <c:pt idx="1334">
                  <c:v>20000</c:v>
                </c:pt>
                <c:pt idx="1335">
                  <c:v>20000</c:v>
                </c:pt>
                <c:pt idx="1336">
                  <c:v>20000</c:v>
                </c:pt>
                <c:pt idx="1337">
                  <c:v>20000</c:v>
                </c:pt>
                <c:pt idx="1338">
                  <c:v>20000</c:v>
                </c:pt>
                <c:pt idx="1339">
                  <c:v>20000</c:v>
                </c:pt>
                <c:pt idx="1340">
                  <c:v>20000</c:v>
                </c:pt>
                <c:pt idx="1341">
                  <c:v>20000</c:v>
                </c:pt>
                <c:pt idx="1342">
                  <c:v>20000</c:v>
                </c:pt>
                <c:pt idx="1343">
                  <c:v>20000</c:v>
                </c:pt>
                <c:pt idx="1344">
                  <c:v>20000</c:v>
                </c:pt>
                <c:pt idx="1345">
                  <c:v>20000</c:v>
                </c:pt>
                <c:pt idx="1346">
                  <c:v>20000</c:v>
                </c:pt>
                <c:pt idx="1347">
                  <c:v>20000</c:v>
                </c:pt>
                <c:pt idx="1348">
                  <c:v>20000</c:v>
                </c:pt>
                <c:pt idx="1349">
                  <c:v>20000</c:v>
                </c:pt>
                <c:pt idx="1350">
                  <c:v>20000</c:v>
                </c:pt>
                <c:pt idx="1351">
                  <c:v>20000</c:v>
                </c:pt>
                <c:pt idx="1352">
                  <c:v>20000</c:v>
                </c:pt>
                <c:pt idx="1353">
                  <c:v>20000</c:v>
                </c:pt>
                <c:pt idx="1354">
                  <c:v>20000</c:v>
                </c:pt>
                <c:pt idx="1355">
                  <c:v>20000</c:v>
                </c:pt>
                <c:pt idx="1356">
                  <c:v>20000</c:v>
                </c:pt>
                <c:pt idx="1357">
                  <c:v>20000</c:v>
                </c:pt>
                <c:pt idx="1358">
                  <c:v>20000</c:v>
                </c:pt>
                <c:pt idx="1359">
                  <c:v>20000</c:v>
                </c:pt>
                <c:pt idx="1360">
                  <c:v>21000</c:v>
                </c:pt>
                <c:pt idx="1361">
                  <c:v>21000</c:v>
                </c:pt>
                <c:pt idx="1362">
                  <c:v>21000</c:v>
                </c:pt>
                <c:pt idx="1363">
                  <c:v>21000</c:v>
                </c:pt>
                <c:pt idx="1364">
                  <c:v>21000</c:v>
                </c:pt>
                <c:pt idx="1365">
                  <c:v>21000</c:v>
                </c:pt>
                <c:pt idx="1366">
                  <c:v>21000</c:v>
                </c:pt>
                <c:pt idx="1367">
                  <c:v>21000</c:v>
                </c:pt>
                <c:pt idx="1368">
                  <c:v>21500</c:v>
                </c:pt>
                <c:pt idx="1369">
                  <c:v>21500</c:v>
                </c:pt>
                <c:pt idx="1370">
                  <c:v>22000</c:v>
                </c:pt>
                <c:pt idx="1371">
                  <c:v>22000</c:v>
                </c:pt>
                <c:pt idx="1372">
                  <c:v>22000</c:v>
                </c:pt>
                <c:pt idx="1373">
                  <c:v>22000</c:v>
                </c:pt>
                <c:pt idx="1374">
                  <c:v>22000</c:v>
                </c:pt>
                <c:pt idx="1375">
                  <c:v>22000</c:v>
                </c:pt>
                <c:pt idx="1376">
                  <c:v>22000</c:v>
                </c:pt>
                <c:pt idx="1377">
                  <c:v>22000</c:v>
                </c:pt>
                <c:pt idx="1378">
                  <c:v>22000</c:v>
                </c:pt>
                <c:pt idx="1379">
                  <c:v>22000</c:v>
                </c:pt>
                <c:pt idx="1380">
                  <c:v>22000</c:v>
                </c:pt>
                <c:pt idx="1381">
                  <c:v>22000</c:v>
                </c:pt>
                <c:pt idx="1382">
                  <c:v>22000</c:v>
                </c:pt>
                <c:pt idx="1383">
                  <c:v>22000</c:v>
                </c:pt>
                <c:pt idx="1384">
                  <c:v>22000</c:v>
                </c:pt>
                <c:pt idx="1385">
                  <c:v>22000</c:v>
                </c:pt>
                <c:pt idx="1386">
                  <c:v>22000</c:v>
                </c:pt>
                <c:pt idx="1387">
                  <c:v>22000</c:v>
                </c:pt>
                <c:pt idx="1388">
                  <c:v>22218</c:v>
                </c:pt>
                <c:pt idx="1389">
                  <c:v>22218</c:v>
                </c:pt>
                <c:pt idx="1390">
                  <c:v>23000</c:v>
                </c:pt>
                <c:pt idx="1391">
                  <c:v>23000</c:v>
                </c:pt>
                <c:pt idx="1392">
                  <c:v>23000</c:v>
                </c:pt>
                <c:pt idx="1393">
                  <c:v>23000</c:v>
                </c:pt>
                <c:pt idx="1394">
                  <c:v>23000</c:v>
                </c:pt>
                <c:pt idx="1395">
                  <c:v>23000</c:v>
                </c:pt>
                <c:pt idx="1396">
                  <c:v>24000</c:v>
                </c:pt>
                <c:pt idx="1397">
                  <c:v>24000</c:v>
                </c:pt>
                <c:pt idx="1398">
                  <c:v>24000</c:v>
                </c:pt>
                <c:pt idx="1399">
                  <c:v>24000</c:v>
                </c:pt>
                <c:pt idx="1400">
                  <c:v>25000</c:v>
                </c:pt>
                <c:pt idx="1401">
                  <c:v>25000</c:v>
                </c:pt>
                <c:pt idx="1402">
                  <c:v>25000</c:v>
                </c:pt>
                <c:pt idx="1403">
                  <c:v>25000</c:v>
                </c:pt>
                <c:pt idx="1404">
                  <c:v>25000</c:v>
                </c:pt>
                <c:pt idx="1405">
                  <c:v>25000</c:v>
                </c:pt>
                <c:pt idx="1406">
                  <c:v>25000</c:v>
                </c:pt>
                <c:pt idx="1407">
                  <c:v>25000</c:v>
                </c:pt>
                <c:pt idx="1408">
                  <c:v>25000</c:v>
                </c:pt>
                <c:pt idx="1409">
                  <c:v>25000</c:v>
                </c:pt>
                <c:pt idx="1410">
                  <c:v>25000</c:v>
                </c:pt>
                <c:pt idx="1411">
                  <c:v>25000</c:v>
                </c:pt>
                <c:pt idx="1412">
                  <c:v>25000</c:v>
                </c:pt>
                <c:pt idx="1413">
                  <c:v>25000</c:v>
                </c:pt>
                <c:pt idx="1414">
                  <c:v>26000</c:v>
                </c:pt>
                <c:pt idx="1415">
                  <c:v>26000</c:v>
                </c:pt>
                <c:pt idx="1416">
                  <c:v>27000</c:v>
                </c:pt>
                <c:pt idx="1417">
                  <c:v>27000</c:v>
                </c:pt>
                <c:pt idx="1418">
                  <c:v>30000</c:v>
                </c:pt>
                <c:pt idx="1419">
                  <c:v>30000</c:v>
                </c:pt>
                <c:pt idx="1420">
                  <c:v>30000</c:v>
                </c:pt>
                <c:pt idx="1421">
                  <c:v>30000</c:v>
                </c:pt>
                <c:pt idx="1422">
                  <c:v>30000</c:v>
                </c:pt>
                <c:pt idx="1423">
                  <c:v>30000</c:v>
                </c:pt>
                <c:pt idx="1424">
                  <c:v>34645</c:v>
                </c:pt>
                <c:pt idx="1425">
                  <c:v>34645</c:v>
                </c:pt>
              </c:numCache>
            </c:numRef>
          </c:xVal>
          <c:yVal>
            <c:numRef>
              <c:f>Histogram_HID1!$H$1:$H$1426</c:f>
              <c:numCache>
                <c:formatCode>0.000</c:formatCode>
                <c:ptCount val="1426"/>
                <c:pt idx="0">
                  <c:v>0</c:v>
                </c:pt>
                <c:pt idx="1">
                  <c:v>9.0036109149134545E-4</c:v>
                </c:pt>
                <c:pt idx="2">
                  <c:v>9.0036109149134545E-4</c:v>
                </c:pt>
                <c:pt idx="3">
                  <c:v>2.140538647545296E-3</c:v>
                </c:pt>
                <c:pt idx="4">
                  <c:v>2.140538647545296E-3</c:v>
                </c:pt>
                <c:pt idx="5">
                  <c:v>3.6251526019228011E-3</c:v>
                </c:pt>
                <c:pt idx="6">
                  <c:v>3.6251526019228011E-3</c:v>
                </c:pt>
                <c:pt idx="7">
                  <c:v>4.5351875136907588E-3</c:v>
                </c:pt>
                <c:pt idx="8">
                  <c:v>4.5351875136907588E-3</c:v>
                </c:pt>
                <c:pt idx="9">
                  <c:v>5.4135524474161053E-3</c:v>
                </c:pt>
                <c:pt idx="10">
                  <c:v>5.4135524474161053E-3</c:v>
                </c:pt>
                <c:pt idx="11">
                  <c:v>8.0579717678334606E-3</c:v>
                </c:pt>
                <c:pt idx="12">
                  <c:v>8.0579717678334606E-3</c:v>
                </c:pt>
                <c:pt idx="13">
                  <c:v>9.1529571712170178E-3</c:v>
                </c:pt>
                <c:pt idx="14">
                  <c:v>9.1529571712170178E-3</c:v>
                </c:pt>
                <c:pt idx="15">
                  <c:v>9.8179522585895851E-3</c:v>
                </c:pt>
                <c:pt idx="16">
                  <c:v>9.8179522585895851E-3</c:v>
                </c:pt>
                <c:pt idx="17">
                  <c:v>1.1343546194496835E-2</c:v>
                </c:pt>
                <c:pt idx="18">
                  <c:v>1.1343546194496835E-2</c:v>
                </c:pt>
                <c:pt idx="19">
                  <c:v>1.443338509783485E-2</c:v>
                </c:pt>
                <c:pt idx="20">
                  <c:v>1.443338509783485E-2</c:v>
                </c:pt>
                <c:pt idx="21">
                  <c:v>1.5959943451872693E-2</c:v>
                </c:pt>
                <c:pt idx="22">
                  <c:v>1.5959943451872693E-2</c:v>
                </c:pt>
                <c:pt idx="23">
                  <c:v>1.8434738136546714E-2</c:v>
                </c:pt>
                <c:pt idx="24">
                  <c:v>1.8434738136546714E-2</c:v>
                </c:pt>
                <c:pt idx="25">
                  <c:v>1.9895800141490401E-2</c:v>
                </c:pt>
                <c:pt idx="26">
                  <c:v>1.9895800141490401E-2</c:v>
                </c:pt>
                <c:pt idx="27">
                  <c:v>2.0618251336969672E-2</c:v>
                </c:pt>
                <c:pt idx="28">
                  <c:v>2.0618251336969672E-2</c:v>
                </c:pt>
                <c:pt idx="29">
                  <c:v>2.1801682941440088E-2</c:v>
                </c:pt>
                <c:pt idx="30">
                  <c:v>2.1801682941440088E-2</c:v>
                </c:pt>
                <c:pt idx="31">
                  <c:v>2.3286296895817595E-2</c:v>
                </c:pt>
                <c:pt idx="32">
                  <c:v>2.3286296895817595E-2</c:v>
                </c:pt>
                <c:pt idx="33">
                  <c:v>2.4679249006178013E-2</c:v>
                </c:pt>
                <c:pt idx="34">
                  <c:v>2.4679249006178013E-2</c:v>
                </c:pt>
                <c:pt idx="35">
                  <c:v>2.6205807360215855E-2</c:v>
                </c:pt>
                <c:pt idx="36">
                  <c:v>2.6205807360215855E-2</c:v>
                </c:pt>
                <c:pt idx="37">
                  <c:v>2.7615166035301019E-2</c:v>
                </c:pt>
                <c:pt idx="38">
                  <c:v>2.7615166035301019E-2</c:v>
                </c:pt>
                <c:pt idx="39">
                  <c:v>2.9802973907870248E-2</c:v>
                </c:pt>
                <c:pt idx="40">
                  <c:v>2.9802973907870248E-2</c:v>
                </c:pt>
                <c:pt idx="41">
                  <c:v>3.1043151463924199E-2</c:v>
                </c:pt>
                <c:pt idx="42">
                  <c:v>3.1043151463924199E-2</c:v>
                </c:pt>
                <c:pt idx="43">
                  <c:v>3.2129958272603731E-2</c:v>
                </c:pt>
                <c:pt idx="44">
                  <c:v>3.2129958272603731E-2</c:v>
                </c:pt>
                <c:pt idx="45">
                  <c:v>3.5219797175941744E-2</c:v>
                </c:pt>
                <c:pt idx="46">
                  <c:v>3.5219797175941744E-2</c:v>
                </c:pt>
                <c:pt idx="47">
                  <c:v>3.729513465411894E-2</c:v>
                </c:pt>
                <c:pt idx="48">
                  <c:v>3.729513465411894E-2</c:v>
                </c:pt>
                <c:pt idx="49">
                  <c:v>3.8779748608496444E-2</c:v>
                </c:pt>
                <c:pt idx="50">
                  <c:v>3.8779748608496444E-2</c:v>
                </c:pt>
                <c:pt idx="51">
                  <c:v>4.1168676810943355E-2</c:v>
                </c:pt>
                <c:pt idx="52">
                  <c:v>4.1168676810943355E-2</c:v>
                </c:pt>
                <c:pt idx="53">
                  <c:v>4.2044665133588406E-2</c:v>
                </c:pt>
                <c:pt idx="54">
                  <c:v>4.2044665133588406E-2</c:v>
                </c:pt>
                <c:pt idx="55">
                  <c:v>4.372657172541014E-2</c:v>
                </c:pt>
                <c:pt idx="56">
                  <c:v>4.372657172541014E-2</c:v>
                </c:pt>
                <c:pt idx="57">
                  <c:v>4.578759389992134E-2</c:v>
                </c:pt>
                <c:pt idx="58">
                  <c:v>4.578759389992134E-2</c:v>
                </c:pt>
                <c:pt idx="59">
                  <c:v>4.6510045095400604E-2</c:v>
                </c:pt>
                <c:pt idx="60">
                  <c:v>4.6510045095400604E-2</c:v>
                </c:pt>
                <c:pt idx="61">
                  <c:v>4.8191951687222338E-2</c:v>
                </c:pt>
                <c:pt idx="62">
                  <c:v>4.8191951687222338E-2</c:v>
                </c:pt>
                <c:pt idx="63">
                  <c:v>4.9717545623129591E-2</c:v>
                </c:pt>
                <c:pt idx="64">
                  <c:v>4.9717545623129591E-2</c:v>
                </c:pt>
                <c:pt idx="65">
                  <c:v>5.1002421434844548E-2</c:v>
                </c:pt>
                <c:pt idx="66">
                  <c:v>5.1002421434844548E-2</c:v>
                </c:pt>
                <c:pt idx="67">
                  <c:v>5.241915865171954E-2</c:v>
                </c:pt>
                <c:pt idx="68">
                  <c:v>5.241915865171954E-2</c:v>
                </c:pt>
                <c:pt idx="69">
                  <c:v>5.3234969886452134E-2</c:v>
                </c:pt>
                <c:pt idx="70">
                  <c:v>5.3234969886452134E-2</c:v>
                </c:pt>
                <c:pt idx="71">
                  <c:v>5.4475147442506089E-2</c:v>
                </c:pt>
                <c:pt idx="72">
                  <c:v>5.4475147442506089E-2</c:v>
                </c:pt>
                <c:pt idx="73">
                  <c:v>5.6223406544720814E-2</c:v>
                </c:pt>
                <c:pt idx="74">
                  <c:v>5.6223406544720814E-2</c:v>
                </c:pt>
                <c:pt idx="75">
                  <c:v>5.7616358655081239E-2</c:v>
                </c:pt>
                <c:pt idx="76">
                  <c:v>5.7616358655081239E-2</c:v>
                </c:pt>
                <c:pt idx="77">
                  <c:v>5.8377861266498951E-2</c:v>
                </c:pt>
                <c:pt idx="78">
                  <c:v>5.8377861266498951E-2</c:v>
                </c:pt>
                <c:pt idx="79">
                  <c:v>5.9904419620536796E-2</c:v>
                </c:pt>
                <c:pt idx="80">
                  <c:v>5.9904419620536796E-2</c:v>
                </c:pt>
                <c:pt idx="81">
                  <c:v>6.0991226429216332E-2</c:v>
                </c:pt>
                <c:pt idx="82">
                  <c:v>6.0991226429216332E-2</c:v>
                </c:pt>
                <c:pt idx="83">
                  <c:v>6.2120359718383443E-2</c:v>
                </c:pt>
                <c:pt idx="84">
                  <c:v>6.2120359718383443E-2</c:v>
                </c:pt>
                <c:pt idx="85">
                  <c:v>6.3141709172971724E-2</c:v>
                </c:pt>
                <c:pt idx="86">
                  <c:v>6.3141709172971724E-2</c:v>
                </c:pt>
                <c:pt idx="87">
                  <c:v>6.3957520407704319E-2</c:v>
                </c:pt>
                <c:pt idx="88">
                  <c:v>6.3957520407704319E-2</c:v>
                </c:pt>
                <c:pt idx="89">
                  <c:v>6.5639426999526046E-2</c:v>
                </c:pt>
                <c:pt idx="90">
                  <c:v>6.5639426999526046E-2</c:v>
                </c:pt>
                <c:pt idx="91">
                  <c:v>6.7165985353563884E-2</c:v>
                </c:pt>
                <c:pt idx="92">
                  <c:v>6.7165985353563884E-2</c:v>
                </c:pt>
                <c:pt idx="93">
                  <c:v>6.9353793226133109E-2</c:v>
                </c:pt>
                <c:pt idx="94">
                  <c:v>6.9353793226133109E-2</c:v>
                </c:pt>
                <c:pt idx="95">
                  <c:v>7.0169604460865703E-2</c:v>
                </c:pt>
                <c:pt idx="96">
                  <c:v>7.0169604460865703E-2</c:v>
                </c:pt>
                <c:pt idx="97">
                  <c:v>7.1851511052687431E-2</c:v>
                </c:pt>
                <c:pt idx="98">
                  <c:v>7.1851511052687431E-2</c:v>
                </c:pt>
                <c:pt idx="99">
                  <c:v>7.4039318925256656E-2</c:v>
                </c:pt>
                <c:pt idx="100">
                  <c:v>7.4039318925256656E-2</c:v>
                </c:pt>
                <c:pt idx="101">
                  <c:v>7.5366155484351605E-2</c:v>
                </c:pt>
                <c:pt idx="102">
                  <c:v>7.5366155484351605E-2</c:v>
                </c:pt>
                <c:pt idx="103">
                  <c:v>7.6549587088822021E-2</c:v>
                </c:pt>
                <c:pt idx="104">
                  <c:v>7.6549587088822021E-2</c:v>
                </c:pt>
                <c:pt idx="105">
                  <c:v>7.9024381773496036E-2</c:v>
                </c:pt>
                <c:pt idx="106">
                  <c:v>7.9024381773496036E-2</c:v>
                </c:pt>
                <c:pt idx="107">
                  <c:v>8.0417333883856468E-2</c:v>
                </c:pt>
                <c:pt idx="108">
                  <c:v>8.0417333883856468E-2</c:v>
                </c:pt>
                <c:pt idx="109">
                  <c:v>8.1600765488326885E-2</c:v>
                </c:pt>
                <c:pt idx="110">
                  <c:v>8.1600765488326885E-2</c:v>
                </c:pt>
                <c:pt idx="111">
                  <c:v>8.2993717598687303E-2</c:v>
                </c:pt>
                <c:pt idx="112">
                  <c:v>8.2993717598687303E-2</c:v>
                </c:pt>
                <c:pt idx="113">
                  <c:v>8.417714920315772E-2</c:v>
                </c:pt>
                <c:pt idx="114">
                  <c:v>8.417714920315772E-2</c:v>
                </c:pt>
                <c:pt idx="115">
                  <c:v>8.6238171377668926E-2</c:v>
                </c:pt>
                <c:pt idx="116">
                  <c:v>8.6238171377668926E-2</c:v>
                </c:pt>
                <c:pt idx="117">
                  <c:v>8.769923338261261E-2</c:v>
                </c:pt>
                <c:pt idx="118">
                  <c:v>8.769923338261261E-2</c:v>
                </c:pt>
                <c:pt idx="119">
                  <c:v>8.842168457809188E-2</c:v>
                </c:pt>
                <c:pt idx="120">
                  <c:v>8.842168457809188E-2</c:v>
                </c:pt>
                <c:pt idx="121">
                  <c:v>8.930004951181722E-2</c:v>
                </c:pt>
                <c:pt idx="122">
                  <c:v>8.930004951181722E-2</c:v>
                </c:pt>
                <c:pt idx="123">
                  <c:v>9.017841444554256E-2</c:v>
                </c:pt>
                <c:pt idx="124">
                  <c:v>9.017841444554256E-2</c:v>
                </c:pt>
                <c:pt idx="125">
                  <c:v>9.1704972799580411E-2</c:v>
                </c:pt>
                <c:pt idx="126">
                  <c:v>9.1704972799580411E-2</c:v>
                </c:pt>
                <c:pt idx="127">
                  <c:v>9.2369967886952981E-2</c:v>
                </c:pt>
                <c:pt idx="128">
                  <c:v>9.2369967886952981E-2</c:v>
                </c:pt>
                <c:pt idx="129">
                  <c:v>9.4445305365130156E-2</c:v>
                </c:pt>
                <c:pt idx="130">
                  <c:v>9.4445305365130156E-2</c:v>
                </c:pt>
                <c:pt idx="131">
                  <c:v>9.6193564467344894E-2</c:v>
                </c:pt>
                <c:pt idx="132">
                  <c:v>9.6193564467344894E-2</c:v>
                </c:pt>
                <c:pt idx="133">
                  <c:v>9.7654626472288578E-2</c:v>
                </c:pt>
                <c:pt idx="134">
                  <c:v>9.7654626472288578E-2</c:v>
                </c:pt>
                <c:pt idx="135">
                  <c:v>9.9115688477232261E-2</c:v>
                </c:pt>
                <c:pt idx="136">
                  <c:v>9.9115688477232261E-2</c:v>
                </c:pt>
                <c:pt idx="137">
                  <c:v>0.10024482176639936</c:v>
                </c:pt>
                <c:pt idx="138">
                  <c:v>0.10024482176639936</c:v>
                </c:pt>
                <c:pt idx="139">
                  <c:v>0.10133980716978291</c:v>
                </c:pt>
                <c:pt idx="140">
                  <c:v>0.10133980716978291</c:v>
                </c:pt>
                <c:pt idx="141">
                  <c:v>0.10246894045895001</c:v>
                </c:pt>
                <c:pt idx="142">
                  <c:v>0.10246894045895001</c:v>
                </c:pt>
                <c:pt idx="143">
                  <c:v>0.10395355441332753</c:v>
                </c:pt>
                <c:pt idx="144">
                  <c:v>0.10395355441332753</c:v>
                </c:pt>
                <c:pt idx="145">
                  <c:v>0.10534650652368795</c:v>
                </c:pt>
                <c:pt idx="146">
                  <c:v>0.10534650652368795</c:v>
                </c:pt>
                <c:pt idx="147">
                  <c:v>0.10624686761517931</c:v>
                </c:pt>
                <c:pt idx="148">
                  <c:v>0.10624686761517931</c:v>
                </c:pt>
                <c:pt idx="149">
                  <c:v>0.10843467548774853</c:v>
                </c:pt>
                <c:pt idx="150">
                  <c:v>0.10843467548774853</c:v>
                </c:pt>
                <c:pt idx="151">
                  <c:v>0.1090996705751211</c:v>
                </c:pt>
                <c:pt idx="152">
                  <c:v>0.1090996705751211</c:v>
                </c:pt>
                <c:pt idx="153">
                  <c:v>0.11028310217959152</c:v>
                </c:pt>
                <c:pt idx="154">
                  <c:v>0.11028310217959152</c:v>
                </c:pt>
                <c:pt idx="155">
                  <c:v>0.11275789686426554</c:v>
                </c:pt>
                <c:pt idx="156">
                  <c:v>0.11275789686426554</c:v>
                </c:pt>
                <c:pt idx="157">
                  <c:v>0.1134228919516381</c:v>
                </c:pt>
                <c:pt idx="158">
                  <c:v>0.1134228919516381</c:v>
                </c:pt>
                <c:pt idx="159">
                  <c:v>0.11606731127205545</c:v>
                </c:pt>
                <c:pt idx="160">
                  <c:v>0.11606731127205545</c:v>
                </c:pt>
                <c:pt idx="161">
                  <c:v>0.11682881388347319</c:v>
                </c:pt>
                <c:pt idx="162">
                  <c:v>0.11682881388347319</c:v>
                </c:pt>
                <c:pt idx="163">
                  <c:v>0.11888983605798439</c:v>
                </c:pt>
                <c:pt idx="164">
                  <c:v>0.11888983605798439</c:v>
                </c:pt>
                <c:pt idx="165">
                  <c:v>0.12028278816834481</c:v>
                </c:pt>
                <c:pt idx="166">
                  <c:v>0.12028278816834481</c:v>
                </c:pt>
                <c:pt idx="167">
                  <c:v>0.12094778325571737</c:v>
                </c:pt>
                <c:pt idx="168">
                  <c:v>0.12094778325571737</c:v>
                </c:pt>
                <c:pt idx="169">
                  <c:v>0.12176359449044996</c:v>
                </c:pt>
                <c:pt idx="170">
                  <c:v>0.12176359449044996</c:v>
                </c:pt>
                <c:pt idx="171">
                  <c:v>0.12415252269289688</c:v>
                </c:pt>
                <c:pt idx="172">
                  <c:v>0.12415252269289688</c:v>
                </c:pt>
                <c:pt idx="173">
                  <c:v>0.12556188136798205</c:v>
                </c:pt>
                <c:pt idx="174">
                  <c:v>0.12556188136798205</c:v>
                </c:pt>
                <c:pt idx="175">
                  <c:v>0.12708843972201989</c:v>
                </c:pt>
                <c:pt idx="176">
                  <c:v>0.12708843972201989</c:v>
                </c:pt>
                <c:pt idx="177">
                  <c:v>0.1285730536763974</c:v>
                </c:pt>
                <c:pt idx="178">
                  <c:v>0.1285730536763974</c:v>
                </c:pt>
                <c:pt idx="179">
                  <c:v>0.12944904199904245</c:v>
                </c:pt>
                <c:pt idx="180">
                  <c:v>0.12944904199904245</c:v>
                </c:pt>
                <c:pt idx="181">
                  <c:v>0.13063247360351288</c:v>
                </c:pt>
                <c:pt idx="182">
                  <c:v>0.13063247360351288</c:v>
                </c:pt>
                <c:pt idx="183">
                  <c:v>0.13209353560845655</c:v>
                </c:pt>
                <c:pt idx="184">
                  <c:v>0.13209353560845655</c:v>
                </c:pt>
                <c:pt idx="185">
                  <c:v>0.13357814956283406</c:v>
                </c:pt>
                <c:pt idx="186">
                  <c:v>0.13357814956283406</c:v>
                </c:pt>
                <c:pt idx="187">
                  <c:v>0.13506276351721155</c:v>
                </c:pt>
                <c:pt idx="188">
                  <c:v>0.13506276351721155</c:v>
                </c:pt>
                <c:pt idx="189">
                  <c:v>0.13712378569172276</c:v>
                </c:pt>
                <c:pt idx="190">
                  <c:v>0.13712378569172276</c:v>
                </c:pt>
                <c:pt idx="191">
                  <c:v>0.13919912316989996</c:v>
                </c:pt>
                <c:pt idx="192">
                  <c:v>0.13919912316989996</c:v>
                </c:pt>
                <c:pt idx="193">
                  <c:v>0.1407247171058072</c:v>
                </c:pt>
                <c:pt idx="194">
                  <c:v>0.1407247171058072</c:v>
                </c:pt>
                <c:pt idx="195">
                  <c:v>0.14381455600914522</c:v>
                </c:pt>
                <c:pt idx="196">
                  <c:v>0.14381455600914522</c:v>
                </c:pt>
                <c:pt idx="197">
                  <c:v>0.14645897532956256</c:v>
                </c:pt>
                <c:pt idx="198">
                  <c:v>0.14645897532956256</c:v>
                </c:pt>
                <c:pt idx="199">
                  <c:v>0.1482072344317773</c:v>
                </c:pt>
                <c:pt idx="200">
                  <c:v>0.1482072344317773</c:v>
                </c:pt>
                <c:pt idx="201">
                  <c:v>0.14988914102359904</c:v>
                </c:pt>
                <c:pt idx="202">
                  <c:v>0.14988914102359904</c:v>
                </c:pt>
                <c:pt idx="203">
                  <c:v>0.15157104761542078</c:v>
                </c:pt>
                <c:pt idx="204">
                  <c:v>0.15157104761542078</c:v>
                </c:pt>
                <c:pt idx="205">
                  <c:v>0.15266603301880433</c:v>
                </c:pt>
                <c:pt idx="206">
                  <c:v>0.15266603301880433</c:v>
                </c:pt>
                <c:pt idx="207">
                  <c:v>0.15415064697318184</c:v>
                </c:pt>
                <c:pt idx="208">
                  <c:v>0.15415064697318184</c:v>
                </c:pt>
                <c:pt idx="209">
                  <c:v>0.15662544165785589</c:v>
                </c:pt>
                <c:pt idx="210">
                  <c:v>0.15662544165785589</c:v>
                </c:pt>
                <c:pt idx="211">
                  <c:v>0.15750142998050093</c:v>
                </c:pt>
                <c:pt idx="212">
                  <c:v>0.15750142998050093</c:v>
                </c:pt>
                <c:pt idx="213">
                  <c:v>0.15882826653959589</c:v>
                </c:pt>
                <c:pt idx="214">
                  <c:v>0.15882826653959589</c:v>
                </c:pt>
                <c:pt idx="215">
                  <c:v>0.16031288049397338</c:v>
                </c:pt>
                <c:pt idx="216">
                  <c:v>0.16031288049397338</c:v>
                </c:pt>
                <c:pt idx="217">
                  <c:v>0.16144201378314046</c:v>
                </c:pt>
                <c:pt idx="218">
                  <c:v>0.16144201378314046</c:v>
                </c:pt>
                <c:pt idx="219">
                  <c:v>0.16296857213717833</c:v>
                </c:pt>
                <c:pt idx="220">
                  <c:v>0.16296857213717833</c:v>
                </c:pt>
                <c:pt idx="221">
                  <c:v>0.16502959431168954</c:v>
                </c:pt>
                <c:pt idx="222">
                  <c:v>0.16502959431168954</c:v>
                </c:pt>
                <c:pt idx="223">
                  <c:v>0.16611640112036907</c:v>
                </c:pt>
                <c:pt idx="224">
                  <c:v>0.16611640112036907</c:v>
                </c:pt>
                <c:pt idx="225">
                  <c:v>0.16693221235510167</c:v>
                </c:pt>
                <c:pt idx="226">
                  <c:v>0.16693221235510167</c:v>
                </c:pt>
                <c:pt idx="227">
                  <c:v>0.16759720744247422</c:v>
                </c:pt>
                <c:pt idx="228">
                  <c:v>0.16759720744247422</c:v>
                </c:pt>
                <c:pt idx="229">
                  <c:v>0.16841301867720682</c:v>
                </c:pt>
                <c:pt idx="230">
                  <c:v>0.16841301867720682</c:v>
                </c:pt>
                <c:pt idx="231">
                  <c:v>0.16917452128862454</c:v>
                </c:pt>
                <c:pt idx="232">
                  <c:v>0.16917452128862454</c:v>
                </c:pt>
                <c:pt idx="233">
                  <c:v>0.17123554346313574</c:v>
                </c:pt>
                <c:pt idx="234">
                  <c:v>0.17123554346313574</c:v>
                </c:pt>
                <c:pt idx="235">
                  <c:v>0.1724757210191897</c:v>
                </c:pt>
                <c:pt idx="236">
                  <c:v>0.1724757210191897</c:v>
                </c:pt>
                <c:pt idx="237">
                  <c:v>0.17349707047377796</c:v>
                </c:pt>
                <c:pt idx="238">
                  <c:v>0.17349707047377796</c:v>
                </c:pt>
                <c:pt idx="239">
                  <c:v>0.17439743156526932</c:v>
                </c:pt>
                <c:pt idx="240">
                  <c:v>0.17439743156526932</c:v>
                </c:pt>
                <c:pt idx="241">
                  <c:v>0.17548423837394886</c:v>
                </c:pt>
                <c:pt idx="242">
                  <c:v>0.17548423837394886</c:v>
                </c:pt>
                <c:pt idx="243">
                  <c:v>0.17690097559082385</c:v>
                </c:pt>
                <c:pt idx="244">
                  <c:v>0.17690097559082385</c:v>
                </c:pt>
                <c:pt idx="245">
                  <c:v>0.17808440719529425</c:v>
                </c:pt>
                <c:pt idx="246">
                  <c:v>0.17808440719529425</c:v>
                </c:pt>
                <c:pt idx="247">
                  <c:v>0.17954546920023795</c:v>
                </c:pt>
                <c:pt idx="248">
                  <c:v>0.17954546920023795</c:v>
                </c:pt>
                <c:pt idx="249">
                  <c:v>0.18093842131059837</c:v>
                </c:pt>
                <c:pt idx="250">
                  <c:v>0.18093842131059837</c:v>
                </c:pt>
                <c:pt idx="251">
                  <c:v>0.18160341639797092</c:v>
                </c:pt>
                <c:pt idx="252">
                  <c:v>0.18160341639797092</c:v>
                </c:pt>
                <c:pt idx="253">
                  <c:v>0.18241922763270352</c:v>
                </c:pt>
                <c:pt idx="254">
                  <c:v>0.18241922763270352</c:v>
                </c:pt>
                <c:pt idx="255">
                  <c:v>0.18329759256642886</c:v>
                </c:pt>
                <c:pt idx="256">
                  <c:v>0.18329759256642886</c:v>
                </c:pt>
                <c:pt idx="257">
                  <c:v>0.18638743146976688</c:v>
                </c:pt>
                <c:pt idx="258">
                  <c:v>0.18638743146976688</c:v>
                </c:pt>
                <c:pt idx="259">
                  <c:v>0.18779679014485204</c:v>
                </c:pt>
                <c:pt idx="260">
                  <c:v>0.18779679014485204</c:v>
                </c:pt>
                <c:pt idx="261">
                  <c:v>0.18947869673667378</c:v>
                </c:pt>
                <c:pt idx="262">
                  <c:v>0.18947869673667378</c:v>
                </c:pt>
                <c:pt idx="263">
                  <c:v>0.19050004619126207</c:v>
                </c:pt>
                <c:pt idx="264">
                  <c:v>0.19050004619126207</c:v>
                </c:pt>
                <c:pt idx="265">
                  <c:v>0.19297484087593608</c:v>
                </c:pt>
                <c:pt idx="266">
                  <c:v>0.19297484087593608</c:v>
                </c:pt>
                <c:pt idx="267">
                  <c:v>0.19363983596330864</c:v>
                </c:pt>
                <c:pt idx="268">
                  <c:v>0.19363983596330864</c:v>
                </c:pt>
                <c:pt idx="269">
                  <c:v>0.19516639431734648</c:v>
                </c:pt>
                <c:pt idx="270">
                  <c:v>0.19516639431734648</c:v>
                </c:pt>
                <c:pt idx="271">
                  <c:v>0.19764118900202052</c:v>
                </c:pt>
                <c:pt idx="272">
                  <c:v>0.19764118900202052</c:v>
                </c:pt>
                <c:pt idx="273">
                  <c:v>0.19938944810423526</c:v>
                </c:pt>
                <c:pt idx="274">
                  <c:v>0.19938944810423526</c:v>
                </c:pt>
                <c:pt idx="275">
                  <c:v>0.20091504204014252</c:v>
                </c:pt>
                <c:pt idx="276">
                  <c:v>0.20091504204014252</c:v>
                </c:pt>
                <c:pt idx="277">
                  <c:v>0.20244063597604978</c:v>
                </c:pt>
                <c:pt idx="278">
                  <c:v>0.20244063597604978</c:v>
                </c:pt>
                <c:pt idx="279">
                  <c:v>0.20553047487938778</c:v>
                </c:pt>
                <c:pt idx="280">
                  <c:v>0.20553047487938778</c:v>
                </c:pt>
                <c:pt idx="281">
                  <c:v>0.20705703323342559</c:v>
                </c:pt>
                <c:pt idx="282">
                  <c:v>0.20705703323342559</c:v>
                </c:pt>
                <c:pt idx="283">
                  <c:v>0.20858359158746342</c:v>
                </c:pt>
                <c:pt idx="284">
                  <c:v>0.20858359158746342</c:v>
                </c:pt>
                <c:pt idx="285">
                  <c:v>0.21010918552337068</c:v>
                </c:pt>
                <c:pt idx="286">
                  <c:v>0.21010918552337068</c:v>
                </c:pt>
                <c:pt idx="287">
                  <c:v>0.21150213763373107</c:v>
                </c:pt>
                <c:pt idx="288">
                  <c:v>0.21150213763373107</c:v>
                </c:pt>
                <c:pt idx="289">
                  <c:v>0.21296319963867477</c:v>
                </c:pt>
                <c:pt idx="290">
                  <c:v>0.21296319963867477</c:v>
                </c:pt>
                <c:pt idx="291">
                  <c:v>0.21471145874088948</c:v>
                </c:pt>
                <c:pt idx="292">
                  <c:v>0.21471145874088948</c:v>
                </c:pt>
                <c:pt idx="293">
                  <c:v>0.21623705267679674</c:v>
                </c:pt>
                <c:pt idx="294">
                  <c:v>0.21623705267679674</c:v>
                </c:pt>
                <c:pt idx="295">
                  <c:v>0.21776361103083455</c:v>
                </c:pt>
                <c:pt idx="296">
                  <c:v>0.21776361103083455</c:v>
                </c:pt>
                <c:pt idx="297">
                  <c:v>0.2185251136422523</c:v>
                </c:pt>
                <c:pt idx="298">
                  <c:v>0.2185251136422523</c:v>
                </c:pt>
                <c:pt idx="299">
                  <c:v>0.22060045112042947</c:v>
                </c:pt>
                <c:pt idx="300">
                  <c:v>0.22060045112042947</c:v>
                </c:pt>
                <c:pt idx="301">
                  <c:v>0.22278825899299873</c:v>
                </c:pt>
                <c:pt idx="302">
                  <c:v>0.22278825899299873</c:v>
                </c:pt>
                <c:pt idx="303">
                  <c:v>0.22587809789633673</c:v>
                </c:pt>
                <c:pt idx="304">
                  <c:v>0.22587809789633673</c:v>
                </c:pt>
                <c:pt idx="305">
                  <c:v>0.22700723118550387</c:v>
                </c:pt>
                <c:pt idx="306">
                  <c:v>0.22700723118550387</c:v>
                </c:pt>
                <c:pt idx="307">
                  <c:v>0.22791726609727181</c:v>
                </c:pt>
                <c:pt idx="308">
                  <c:v>0.22791726609727181</c:v>
                </c:pt>
                <c:pt idx="309">
                  <c:v>0.22910069770174224</c:v>
                </c:pt>
                <c:pt idx="310">
                  <c:v>0.22910069770174224</c:v>
                </c:pt>
                <c:pt idx="311">
                  <c:v>0.23049364981210266</c:v>
                </c:pt>
                <c:pt idx="312">
                  <c:v>0.23049364981210266</c:v>
                </c:pt>
                <c:pt idx="313">
                  <c:v>0.23256898729027983</c:v>
                </c:pt>
                <c:pt idx="314">
                  <c:v>0.23256898729027983</c:v>
                </c:pt>
                <c:pt idx="315">
                  <c:v>0.23463000946479104</c:v>
                </c:pt>
                <c:pt idx="316">
                  <c:v>0.23463000946479104</c:v>
                </c:pt>
                <c:pt idx="317">
                  <c:v>0.23529500455216362</c:v>
                </c:pt>
                <c:pt idx="318">
                  <c:v>0.23529500455216362</c:v>
                </c:pt>
                <c:pt idx="319">
                  <c:v>0.23671174176903859</c:v>
                </c:pt>
                <c:pt idx="320">
                  <c:v>0.23671174176903859</c:v>
                </c:pt>
                <c:pt idx="321">
                  <c:v>0.23747324438045631</c:v>
                </c:pt>
                <c:pt idx="322">
                  <c:v>0.23747324438045631</c:v>
                </c:pt>
                <c:pt idx="323">
                  <c:v>0.23899980273449414</c:v>
                </c:pt>
                <c:pt idx="324">
                  <c:v>0.23899980273449414</c:v>
                </c:pt>
                <c:pt idx="325">
                  <c:v>0.24052636108853195</c:v>
                </c:pt>
                <c:pt idx="326">
                  <c:v>0.24052636108853195</c:v>
                </c:pt>
                <c:pt idx="327">
                  <c:v>0.24201097504290944</c:v>
                </c:pt>
                <c:pt idx="328">
                  <c:v>0.24201097504290944</c:v>
                </c:pt>
                <c:pt idx="329">
                  <c:v>0.24342033371799462</c:v>
                </c:pt>
                <c:pt idx="330">
                  <c:v>0.24342033371799462</c:v>
                </c:pt>
                <c:pt idx="331">
                  <c:v>0.24482969239307978</c:v>
                </c:pt>
                <c:pt idx="332">
                  <c:v>0.24482969239307978</c:v>
                </c:pt>
                <c:pt idx="333">
                  <c:v>0.24564550362781237</c:v>
                </c:pt>
                <c:pt idx="334">
                  <c:v>0.24564550362781237</c:v>
                </c:pt>
                <c:pt idx="335">
                  <c:v>0.24732741021963409</c:v>
                </c:pt>
                <c:pt idx="336">
                  <c:v>0.24732741021963409</c:v>
                </c:pt>
                <c:pt idx="337">
                  <c:v>0.24878847222457778</c:v>
                </c:pt>
                <c:pt idx="338">
                  <c:v>0.24878847222457778</c:v>
                </c:pt>
                <c:pt idx="339">
                  <c:v>0.25027308617895527</c:v>
                </c:pt>
                <c:pt idx="340">
                  <c:v>0.25027308617895527</c:v>
                </c:pt>
                <c:pt idx="341">
                  <c:v>0.25140221946812241</c:v>
                </c:pt>
                <c:pt idx="342">
                  <c:v>0.25140221946812241</c:v>
                </c:pt>
                <c:pt idx="343">
                  <c:v>0.25212467066360167</c:v>
                </c:pt>
                <c:pt idx="344">
                  <c:v>0.25212467066360167</c:v>
                </c:pt>
                <c:pt idx="345">
                  <c:v>0.25451359886604857</c:v>
                </c:pt>
                <c:pt idx="346">
                  <c:v>0.25451359886604857</c:v>
                </c:pt>
                <c:pt idx="347">
                  <c:v>0.25527510147746629</c:v>
                </c:pt>
                <c:pt idx="348">
                  <c:v>0.25527510147746629</c:v>
                </c:pt>
                <c:pt idx="349">
                  <c:v>0.25668446015255147</c:v>
                </c:pt>
                <c:pt idx="350">
                  <c:v>0.25668446015255147</c:v>
                </c:pt>
                <c:pt idx="351">
                  <c:v>0.25756282508627681</c:v>
                </c:pt>
                <c:pt idx="352">
                  <c:v>0.25756282508627681</c:v>
                </c:pt>
                <c:pt idx="353">
                  <c:v>0.25884770089799175</c:v>
                </c:pt>
                <c:pt idx="354">
                  <c:v>0.25884770089799175</c:v>
                </c:pt>
                <c:pt idx="355">
                  <c:v>0.26103550877056098</c:v>
                </c:pt>
                <c:pt idx="356">
                  <c:v>0.26103550877056098</c:v>
                </c:pt>
                <c:pt idx="357">
                  <c:v>0.26242846088092137</c:v>
                </c:pt>
                <c:pt idx="358">
                  <c:v>0.26242846088092137</c:v>
                </c:pt>
                <c:pt idx="359">
                  <c:v>0.26382141299128181</c:v>
                </c:pt>
                <c:pt idx="360">
                  <c:v>0.26382141299128181</c:v>
                </c:pt>
                <c:pt idx="361">
                  <c:v>0.26448640807865437</c:v>
                </c:pt>
                <c:pt idx="362">
                  <c:v>0.26448640807865437</c:v>
                </c:pt>
                <c:pt idx="363">
                  <c:v>0.26587936018901476</c:v>
                </c:pt>
                <c:pt idx="364">
                  <c:v>0.26587936018901476</c:v>
                </c:pt>
                <c:pt idx="365">
                  <c:v>0.26729609740588972</c:v>
                </c:pt>
                <c:pt idx="366">
                  <c:v>0.26729609740588972</c:v>
                </c:pt>
                <c:pt idx="367">
                  <c:v>0.26968502560833663</c:v>
                </c:pt>
                <c:pt idx="368">
                  <c:v>0.26968502560833663</c:v>
                </c:pt>
                <c:pt idx="369">
                  <c:v>0.27096990142005162</c:v>
                </c:pt>
                <c:pt idx="370">
                  <c:v>0.27096990142005162</c:v>
                </c:pt>
                <c:pt idx="371">
                  <c:v>0.27178571265478418</c:v>
                </c:pt>
                <c:pt idx="372">
                  <c:v>0.27178571265478418</c:v>
                </c:pt>
                <c:pt idx="373">
                  <c:v>0.27245070774215679</c:v>
                </c:pt>
                <c:pt idx="374">
                  <c:v>0.27245070774215679</c:v>
                </c:pt>
                <c:pt idx="375">
                  <c:v>0.27397630167806403</c:v>
                </c:pt>
                <c:pt idx="376">
                  <c:v>0.27397630167806403</c:v>
                </c:pt>
                <c:pt idx="377">
                  <c:v>0.27572456078027874</c:v>
                </c:pt>
                <c:pt idx="378">
                  <c:v>0.27572456078027874</c:v>
                </c:pt>
                <c:pt idx="379">
                  <c:v>0.27660292571400408</c:v>
                </c:pt>
                <c:pt idx="380">
                  <c:v>0.27660292571400408</c:v>
                </c:pt>
                <c:pt idx="381">
                  <c:v>0.27726792080137663</c:v>
                </c:pt>
                <c:pt idx="382">
                  <c:v>0.27726792080137663</c:v>
                </c:pt>
                <c:pt idx="383">
                  <c:v>0.27901617990359134</c:v>
                </c:pt>
                <c:pt idx="384">
                  <c:v>0.27901617990359134</c:v>
                </c:pt>
                <c:pt idx="385">
                  <c:v>0.28050079385796889</c:v>
                </c:pt>
                <c:pt idx="386">
                  <c:v>0.28050079385796889</c:v>
                </c:pt>
                <c:pt idx="387">
                  <c:v>0.28257613133614606</c:v>
                </c:pt>
                <c:pt idx="388">
                  <c:v>0.28257613133614606</c:v>
                </c:pt>
                <c:pt idx="389">
                  <c:v>0.28496505953859297</c:v>
                </c:pt>
                <c:pt idx="390">
                  <c:v>0.28496505953859297</c:v>
                </c:pt>
                <c:pt idx="391">
                  <c:v>0.28649161789263078</c:v>
                </c:pt>
                <c:pt idx="392">
                  <c:v>0.28649161789263078</c:v>
                </c:pt>
                <c:pt idx="393">
                  <c:v>0.28788457000299117</c:v>
                </c:pt>
                <c:pt idx="394">
                  <c:v>0.28788457000299117</c:v>
                </c:pt>
                <c:pt idx="395">
                  <c:v>0.28870038123772379</c:v>
                </c:pt>
                <c:pt idx="396">
                  <c:v>0.28870038123772379</c:v>
                </c:pt>
                <c:pt idx="397">
                  <c:v>0.28942283243320305</c:v>
                </c:pt>
                <c:pt idx="398">
                  <c:v>0.28942283243320305</c:v>
                </c:pt>
                <c:pt idx="399">
                  <c:v>0.29094842636911028</c:v>
                </c:pt>
                <c:pt idx="400">
                  <c:v>0.29094842636911028</c:v>
                </c:pt>
                <c:pt idx="401">
                  <c:v>0.29342322105378432</c:v>
                </c:pt>
                <c:pt idx="402">
                  <c:v>0.29342322105378432</c:v>
                </c:pt>
                <c:pt idx="403">
                  <c:v>0.29414567224926358</c:v>
                </c:pt>
                <c:pt idx="404">
                  <c:v>0.29414567224926358</c:v>
                </c:pt>
                <c:pt idx="405">
                  <c:v>0.29555503092434876</c:v>
                </c:pt>
                <c:pt idx="406">
                  <c:v>0.29555503092434876</c:v>
                </c:pt>
                <c:pt idx="407">
                  <c:v>0.29622002601172132</c:v>
                </c:pt>
                <c:pt idx="408">
                  <c:v>0.29622002601172132</c:v>
                </c:pt>
                <c:pt idx="409">
                  <c:v>0.29698152862313903</c:v>
                </c:pt>
                <c:pt idx="410">
                  <c:v>0.29698152862313903</c:v>
                </c:pt>
                <c:pt idx="411">
                  <c:v>0.29850712255904632</c:v>
                </c:pt>
                <c:pt idx="412">
                  <c:v>0.29850712255904632</c:v>
                </c:pt>
                <c:pt idx="413">
                  <c:v>0.30056814473355747</c:v>
                </c:pt>
                <c:pt idx="414">
                  <c:v>0.30056814473355747</c:v>
                </c:pt>
                <c:pt idx="415">
                  <c:v>0.30132964734497519</c:v>
                </c:pt>
                <c:pt idx="416">
                  <c:v>0.30132964734497519</c:v>
                </c:pt>
                <c:pt idx="417">
                  <c:v>0.30235099679956345</c:v>
                </c:pt>
                <c:pt idx="418">
                  <c:v>0.30235099679956345</c:v>
                </c:pt>
                <c:pt idx="419">
                  <c:v>0.30387755515360132</c:v>
                </c:pt>
                <c:pt idx="420">
                  <c:v>0.30387755515360132</c:v>
                </c:pt>
                <c:pt idx="421">
                  <c:v>0.30527050726396171</c:v>
                </c:pt>
                <c:pt idx="422">
                  <c:v>0.30527050726396171</c:v>
                </c:pt>
                <c:pt idx="423">
                  <c:v>0.30695241385578342</c:v>
                </c:pt>
                <c:pt idx="424">
                  <c:v>0.30695241385578342</c:v>
                </c:pt>
                <c:pt idx="425">
                  <c:v>0.30863432044760514</c:v>
                </c:pt>
                <c:pt idx="426">
                  <c:v>0.30863432044760514</c:v>
                </c:pt>
                <c:pt idx="427">
                  <c:v>0.31127873976802251</c:v>
                </c:pt>
                <c:pt idx="428">
                  <c:v>0.31127873976802251</c:v>
                </c:pt>
                <c:pt idx="429">
                  <c:v>0.31276335372239999</c:v>
                </c:pt>
                <c:pt idx="430">
                  <c:v>0.31276335372239999</c:v>
                </c:pt>
                <c:pt idx="431">
                  <c:v>0.31415630583276039</c:v>
                </c:pt>
                <c:pt idx="432">
                  <c:v>0.31415630583276039</c:v>
                </c:pt>
                <c:pt idx="433">
                  <c:v>0.31533973743723082</c:v>
                </c:pt>
                <c:pt idx="434">
                  <c:v>0.31533973743723082</c:v>
                </c:pt>
                <c:pt idx="435">
                  <c:v>0.31741507491540805</c:v>
                </c:pt>
                <c:pt idx="436">
                  <c:v>0.31741507491540805</c:v>
                </c:pt>
                <c:pt idx="437">
                  <c:v>0.3198040031178549</c:v>
                </c:pt>
                <c:pt idx="438">
                  <c:v>0.3198040031178549</c:v>
                </c:pt>
                <c:pt idx="439">
                  <c:v>0.32128861707223244</c:v>
                </c:pt>
                <c:pt idx="440">
                  <c:v>0.32128861707223244</c:v>
                </c:pt>
                <c:pt idx="441">
                  <c:v>0.32376341175690643</c:v>
                </c:pt>
                <c:pt idx="442">
                  <c:v>0.32376341175690643</c:v>
                </c:pt>
                <c:pt idx="443">
                  <c:v>0.32528900569281372</c:v>
                </c:pt>
                <c:pt idx="444">
                  <c:v>0.32528900569281372</c:v>
                </c:pt>
                <c:pt idx="445">
                  <c:v>0.32619904060458166</c:v>
                </c:pt>
                <c:pt idx="446">
                  <c:v>0.32619904060458166</c:v>
                </c:pt>
                <c:pt idx="447">
                  <c:v>0.32826006277909281</c:v>
                </c:pt>
                <c:pt idx="448">
                  <c:v>0.32826006277909281</c:v>
                </c:pt>
                <c:pt idx="449">
                  <c:v>0.32965301488945326</c:v>
                </c:pt>
                <c:pt idx="450">
                  <c:v>0.32965301488945326</c:v>
                </c:pt>
                <c:pt idx="451">
                  <c:v>0.33140127399166797</c:v>
                </c:pt>
                <c:pt idx="452">
                  <c:v>0.33140127399166797</c:v>
                </c:pt>
                <c:pt idx="453">
                  <c:v>0.3323016350831593</c:v>
                </c:pt>
                <c:pt idx="454">
                  <c:v>0.3323016350831593</c:v>
                </c:pt>
                <c:pt idx="455">
                  <c:v>0.33398354167498101</c:v>
                </c:pt>
                <c:pt idx="456">
                  <c:v>0.33398354167498101</c:v>
                </c:pt>
                <c:pt idx="457">
                  <c:v>0.3355091356108883</c:v>
                </c:pt>
                <c:pt idx="458">
                  <c:v>0.3355091356108883</c:v>
                </c:pt>
                <c:pt idx="459">
                  <c:v>0.33757015778539945</c:v>
                </c:pt>
                <c:pt idx="460">
                  <c:v>0.33757015778539945</c:v>
                </c:pt>
                <c:pt idx="461">
                  <c:v>0.33909671613943726</c:v>
                </c:pt>
                <c:pt idx="462">
                  <c:v>0.33909671613943726</c:v>
                </c:pt>
                <c:pt idx="463">
                  <c:v>0.34084497524165197</c:v>
                </c:pt>
                <c:pt idx="464">
                  <c:v>0.34084497524165197</c:v>
                </c:pt>
                <c:pt idx="465">
                  <c:v>0.34186632469624029</c:v>
                </c:pt>
                <c:pt idx="466">
                  <c:v>0.34186632469624029</c:v>
                </c:pt>
                <c:pt idx="467">
                  <c:v>0.34262782730765801</c:v>
                </c:pt>
                <c:pt idx="468">
                  <c:v>0.34262782730765801</c:v>
                </c:pt>
                <c:pt idx="469">
                  <c:v>0.34344363854239057</c:v>
                </c:pt>
                <c:pt idx="470">
                  <c:v>0.34344363854239057</c:v>
                </c:pt>
                <c:pt idx="471">
                  <c:v>0.34477047510148556</c:v>
                </c:pt>
                <c:pt idx="472">
                  <c:v>0.34477047510148556</c:v>
                </c:pt>
                <c:pt idx="473">
                  <c:v>0.34741489442190288</c:v>
                </c:pt>
                <c:pt idx="474">
                  <c:v>0.34741489442190288</c:v>
                </c:pt>
                <c:pt idx="475">
                  <c:v>0.34916315352411764</c:v>
                </c:pt>
                <c:pt idx="476">
                  <c:v>0.34916315352411764</c:v>
                </c:pt>
                <c:pt idx="477">
                  <c:v>0.35034658512858807</c:v>
                </c:pt>
                <c:pt idx="478">
                  <c:v>0.35034658512858807</c:v>
                </c:pt>
                <c:pt idx="479">
                  <c:v>0.35209484423080278</c:v>
                </c:pt>
                <c:pt idx="480">
                  <c:v>0.35209484423080278</c:v>
                </c:pt>
                <c:pt idx="481">
                  <c:v>0.35322397751996992</c:v>
                </c:pt>
                <c:pt idx="482">
                  <c:v>0.35322397751996992</c:v>
                </c:pt>
                <c:pt idx="483">
                  <c:v>0.35440740912444035</c:v>
                </c:pt>
                <c:pt idx="484">
                  <c:v>0.35440740912444035</c:v>
                </c:pt>
                <c:pt idx="485">
                  <c:v>0.35559084072891078</c:v>
                </c:pt>
                <c:pt idx="486">
                  <c:v>0.35559084072891078</c:v>
                </c:pt>
                <c:pt idx="487">
                  <c:v>0.3563523433403285</c:v>
                </c:pt>
                <c:pt idx="488">
                  <c:v>0.3563523433403285</c:v>
                </c:pt>
                <c:pt idx="489">
                  <c:v>0.35944218224366653</c:v>
                </c:pt>
                <c:pt idx="490">
                  <c:v>0.35944218224366653</c:v>
                </c:pt>
                <c:pt idx="491">
                  <c:v>0.36096874059770434</c:v>
                </c:pt>
                <c:pt idx="492">
                  <c:v>0.36096874059770434</c:v>
                </c:pt>
                <c:pt idx="493">
                  <c:v>0.36184472892034941</c:v>
                </c:pt>
                <c:pt idx="494">
                  <c:v>0.36184472892034941</c:v>
                </c:pt>
                <c:pt idx="495">
                  <c:v>0.36317156547944435</c:v>
                </c:pt>
                <c:pt idx="496">
                  <c:v>0.36317156547944435</c:v>
                </c:pt>
                <c:pt idx="497">
                  <c:v>0.3638940166749236</c:v>
                </c:pt>
                <c:pt idx="498">
                  <c:v>0.3638940166749236</c:v>
                </c:pt>
                <c:pt idx="499">
                  <c:v>0.36498900207830715</c:v>
                </c:pt>
                <c:pt idx="500">
                  <c:v>0.36498900207830715</c:v>
                </c:pt>
                <c:pt idx="501">
                  <c:v>0.36651459601421443</c:v>
                </c:pt>
                <c:pt idx="502">
                  <c:v>0.36651459601421443</c:v>
                </c:pt>
                <c:pt idx="503">
                  <c:v>0.36779947182592937</c:v>
                </c:pt>
                <c:pt idx="504">
                  <c:v>0.36779947182592937</c:v>
                </c:pt>
                <c:pt idx="505">
                  <c:v>0.36920883050101455</c:v>
                </c:pt>
                <c:pt idx="506">
                  <c:v>0.36920883050101455</c:v>
                </c:pt>
                <c:pt idx="507">
                  <c:v>0.37011886541278249</c:v>
                </c:pt>
                <c:pt idx="508">
                  <c:v>0.37011886541278249</c:v>
                </c:pt>
                <c:pt idx="509">
                  <c:v>0.37151181752314288</c:v>
                </c:pt>
                <c:pt idx="510">
                  <c:v>0.37151181752314288</c:v>
                </c:pt>
                <c:pt idx="511">
                  <c:v>0.37232762875787551</c:v>
                </c:pt>
                <c:pt idx="512">
                  <c:v>0.37232762875787551</c:v>
                </c:pt>
                <c:pt idx="513">
                  <c:v>0.37299262384524806</c:v>
                </c:pt>
                <c:pt idx="514">
                  <c:v>0.37299262384524806</c:v>
                </c:pt>
                <c:pt idx="515">
                  <c:v>0.37386861216789313</c:v>
                </c:pt>
                <c:pt idx="516">
                  <c:v>0.37386861216789313</c:v>
                </c:pt>
                <c:pt idx="517">
                  <c:v>0.37527797084297826</c:v>
                </c:pt>
                <c:pt idx="518">
                  <c:v>0.37527797084297826</c:v>
                </c:pt>
                <c:pt idx="519">
                  <c:v>0.37609378207771088</c:v>
                </c:pt>
                <c:pt idx="520">
                  <c:v>0.37609378207771088</c:v>
                </c:pt>
                <c:pt idx="521">
                  <c:v>0.37718876748109442</c:v>
                </c:pt>
                <c:pt idx="522">
                  <c:v>0.37718876748109442</c:v>
                </c:pt>
                <c:pt idx="523">
                  <c:v>0.37858171959145481</c:v>
                </c:pt>
                <c:pt idx="524">
                  <c:v>0.37858171959145481</c:v>
                </c:pt>
                <c:pt idx="525">
                  <c:v>0.37938893793506878</c:v>
                </c:pt>
                <c:pt idx="526">
                  <c:v>0.37938893793506878</c:v>
                </c:pt>
                <c:pt idx="527">
                  <c:v>0.38091453187097607</c:v>
                </c:pt>
                <c:pt idx="528">
                  <c:v>0.38091453187097607</c:v>
                </c:pt>
                <c:pt idx="529">
                  <c:v>0.38239914582535356</c:v>
                </c:pt>
                <c:pt idx="530">
                  <c:v>0.38239914582535356</c:v>
                </c:pt>
                <c:pt idx="531">
                  <c:v>0.38408105241717527</c:v>
                </c:pt>
                <c:pt idx="532">
                  <c:v>0.38408105241717527</c:v>
                </c:pt>
                <c:pt idx="533">
                  <c:v>0.38521018570634241</c:v>
                </c:pt>
                <c:pt idx="534">
                  <c:v>0.38521018570634241</c:v>
                </c:pt>
                <c:pt idx="535">
                  <c:v>0.38639361731081284</c:v>
                </c:pt>
                <c:pt idx="536">
                  <c:v>0.38639361731081284</c:v>
                </c:pt>
                <c:pt idx="537">
                  <c:v>0.38730365222258079</c:v>
                </c:pt>
                <c:pt idx="538">
                  <c:v>0.38730365222258079</c:v>
                </c:pt>
                <c:pt idx="539">
                  <c:v>0.38843278551174787</c:v>
                </c:pt>
                <c:pt idx="540">
                  <c:v>0.38843278551174787</c:v>
                </c:pt>
                <c:pt idx="541">
                  <c:v>0.38919428812316564</c:v>
                </c:pt>
                <c:pt idx="542">
                  <c:v>0.38919428812316564</c:v>
                </c:pt>
                <c:pt idx="543">
                  <c:v>0.39058724023352603</c:v>
                </c:pt>
                <c:pt idx="544">
                  <c:v>0.39058724023352603</c:v>
                </c:pt>
                <c:pt idx="545">
                  <c:v>0.39211379858756384</c:v>
                </c:pt>
                <c:pt idx="546">
                  <c:v>0.39211379858756384</c:v>
                </c:pt>
                <c:pt idx="547">
                  <c:v>0.39298978691020886</c:v>
                </c:pt>
                <c:pt idx="548">
                  <c:v>0.39298978691020886</c:v>
                </c:pt>
                <c:pt idx="549">
                  <c:v>0.39473804601242363</c:v>
                </c:pt>
                <c:pt idx="550">
                  <c:v>0.39473804601242363</c:v>
                </c:pt>
                <c:pt idx="551">
                  <c:v>0.39626460436646144</c:v>
                </c:pt>
                <c:pt idx="552">
                  <c:v>0.39626460436646144</c:v>
                </c:pt>
                <c:pt idx="553">
                  <c:v>0.3980128634686762</c:v>
                </c:pt>
                <c:pt idx="554">
                  <c:v>0.3980128634686762</c:v>
                </c:pt>
                <c:pt idx="555">
                  <c:v>0.39940581557903665</c:v>
                </c:pt>
                <c:pt idx="556">
                  <c:v>0.39940581557903665</c:v>
                </c:pt>
                <c:pt idx="557">
                  <c:v>0.40179474378148355</c:v>
                </c:pt>
                <c:pt idx="558">
                  <c:v>0.40179474378148355</c:v>
                </c:pt>
                <c:pt idx="559">
                  <c:v>0.40354300288369827</c:v>
                </c:pt>
                <c:pt idx="560">
                  <c:v>0.40354300288369827</c:v>
                </c:pt>
                <c:pt idx="561">
                  <c:v>0.40522490947552003</c:v>
                </c:pt>
                <c:pt idx="562">
                  <c:v>0.40522490947552003</c:v>
                </c:pt>
                <c:pt idx="563">
                  <c:v>0.40661786158588048</c:v>
                </c:pt>
                <c:pt idx="564">
                  <c:v>0.40661786158588048</c:v>
                </c:pt>
                <c:pt idx="565">
                  <c:v>0.40807892359082415</c:v>
                </c:pt>
                <c:pt idx="566">
                  <c:v>0.40807892359082415</c:v>
                </c:pt>
                <c:pt idx="567">
                  <c:v>0.40960548194486196</c:v>
                </c:pt>
                <c:pt idx="568">
                  <c:v>0.40960548194486196</c:v>
                </c:pt>
                <c:pt idx="569">
                  <c:v>0.41113204029889977</c:v>
                </c:pt>
                <c:pt idx="570">
                  <c:v>0.41113204029889977</c:v>
                </c:pt>
                <c:pt idx="571">
                  <c:v>0.41265763423480706</c:v>
                </c:pt>
                <c:pt idx="572">
                  <c:v>0.41265763423480706</c:v>
                </c:pt>
                <c:pt idx="573">
                  <c:v>0.4140505863451675</c:v>
                </c:pt>
                <c:pt idx="574">
                  <c:v>0.4140505863451675</c:v>
                </c:pt>
                <c:pt idx="575">
                  <c:v>0.41537742290426244</c:v>
                </c:pt>
                <c:pt idx="576">
                  <c:v>0.41537742290426244</c:v>
                </c:pt>
                <c:pt idx="577">
                  <c:v>0.41690301684016967</c:v>
                </c:pt>
                <c:pt idx="578">
                  <c:v>0.41690301684016967</c:v>
                </c:pt>
                <c:pt idx="579">
                  <c:v>0.4199928557435077</c:v>
                </c:pt>
                <c:pt idx="580">
                  <c:v>0.4199928557435077</c:v>
                </c:pt>
                <c:pt idx="581">
                  <c:v>0.42145391774845131</c:v>
                </c:pt>
                <c:pt idx="582">
                  <c:v>0.42145391774845131</c:v>
                </c:pt>
                <c:pt idx="583">
                  <c:v>0.42263734935292174</c:v>
                </c:pt>
                <c:pt idx="584">
                  <c:v>0.42263734935292174</c:v>
                </c:pt>
                <c:pt idx="585">
                  <c:v>0.42482515722549091</c:v>
                </c:pt>
                <c:pt idx="586">
                  <c:v>0.42482515722549091</c:v>
                </c:pt>
                <c:pt idx="587">
                  <c:v>0.42600858882996134</c:v>
                </c:pt>
                <c:pt idx="588">
                  <c:v>0.42600858882996134</c:v>
                </c:pt>
                <c:pt idx="589">
                  <c:v>0.42753514718399915</c:v>
                </c:pt>
                <c:pt idx="590">
                  <c:v>0.42753514718399915</c:v>
                </c:pt>
                <c:pt idx="591">
                  <c:v>0.42959616935851036</c:v>
                </c:pt>
                <c:pt idx="592">
                  <c:v>0.42959616935851036</c:v>
                </c:pt>
                <c:pt idx="593">
                  <c:v>0.43077960096298079</c:v>
                </c:pt>
                <c:pt idx="594">
                  <c:v>0.43077960096298079</c:v>
                </c:pt>
                <c:pt idx="595">
                  <c:v>0.43165558928562586</c:v>
                </c:pt>
                <c:pt idx="596">
                  <c:v>0.43165558928562586</c:v>
                </c:pt>
                <c:pt idx="597">
                  <c:v>0.43318118322153309</c:v>
                </c:pt>
                <c:pt idx="598">
                  <c:v>0.43318118322153309</c:v>
                </c:pt>
                <c:pt idx="599">
                  <c:v>0.43405954815525849</c:v>
                </c:pt>
                <c:pt idx="600">
                  <c:v>0.43405954815525849</c:v>
                </c:pt>
                <c:pt idx="601">
                  <c:v>0.43538638471435342</c:v>
                </c:pt>
                <c:pt idx="602">
                  <c:v>0.43538638471435342</c:v>
                </c:pt>
                <c:pt idx="603">
                  <c:v>0.4365698163188238</c:v>
                </c:pt>
                <c:pt idx="604">
                  <c:v>0.4365698163188238</c:v>
                </c:pt>
                <c:pt idx="605">
                  <c:v>0.43733131893024152</c:v>
                </c:pt>
                <c:pt idx="606">
                  <c:v>0.43733131893024152</c:v>
                </c:pt>
                <c:pt idx="607">
                  <c:v>0.43885691286614881</c:v>
                </c:pt>
                <c:pt idx="608">
                  <c:v>0.43885691286614881</c:v>
                </c:pt>
                <c:pt idx="609">
                  <c:v>0.44053881945797052</c:v>
                </c:pt>
                <c:pt idx="610">
                  <c:v>0.44053881945797052</c:v>
                </c:pt>
                <c:pt idx="611">
                  <c:v>0.44144885436973852</c:v>
                </c:pt>
                <c:pt idx="612">
                  <c:v>0.44144885436973852</c:v>
                </c:pt>
                <c:pt idx="613">
                  <c:v>0.44319711347195323</c:v>
                </c:pt>
                <c:pt idx="614">
                  <c:v>0.44319711347195323</c:v>
                </c:pt>
                <c:pt idx="615">
                  <c:v>0.44391956466743249</c:v>
                </c:pt>
                <c:pt idx="616">
                  <c:v>0.44391956466743249</c:v>
                </c:pt>
                <c:pt idx="617">
                  <c:v>0.44540417862181003</c:v>
                </c:pt>
                <c:pt idx="618">
                  <c:v>0.44540417862181003</c:v>
                </c:pt>
                <c:pt idx="619">
                  <c:v>0.44616568123322775</c:v>
                </c:pt>
                <c:pt idx="620">
                  <c:v>0.44616568123322775</c:v>
                </c:pt>
                <c:pt idx="621">
                  <c:v>0.44725248804190731</c:v>
                </c:pt>
                <c:pt idx="622">
                  <c:v>0.44725248804190731</c:v>
                </c:pt>
                <c:pt idx="623">
                  <c:v>0.44827383749649563</c:v>
                </c:pt>
                <c:pt idx="624">
                  <c:v>0.44827383749649563</c:v>
                </c:pt>
                <c:pt idx="625">
                  <c:v>0.44893883258386819</c:v>
                </c:pt>
                <c:pt idx="626">
                  <c:v>0.44893883258386819</c:v>
                </c:pt>
                <c:pt idx="627">
                  <c:v>0.44975464381860081</c:v>
                </c:pt>
                <c:pt idx="628">
                  <c:v>0.44975464381860081</c:v>
                </c:pt>
                <c:pt idx="629">
                  <c:v>0.45077599327318912</c:v>
                </c:pt>
                <c:pt idx="630">
                  <c:v>0.45077599327318912</c:v>
                </c:pt>
                <c:pt idx="631">
                  <c:v>0.45218535194827425</c:v>
                </c:pt>
                <c:pt idx="632">
                  <c:v>0.45218535194827425</c:v>
                </c:pt>
                <c:pt idx="633">
                  <c:v>0.45320670140286257</c:v>
                </c:pt>
                <c:pt idx="634">
                  <c:v>0.45320670140286257</c:v>
                </c:pt>
                <c:pt idx="635">
                  <c:v>0.45430168680624616</c:v>
                </c:pt>
                <c:pt idx="636">
                  <c:v>0.45430168680624616</c:v>
                </c:pt>
                <c:pt idx="637">
                  <c:v>0.45604994590846093</c:v>
                </c:pt>
                <c:pt idx="638">
                  <c:v>0.45604994590846093</c:v>
                </c:pt>
                <c:pt idx="639">
                  <c:v>0.45685716425207484</c:v>
                </c:pt>
                <c:pt idx="640">
                  <c:v>0.45685716425207484</c:v>
                </c:pt>
                <c:pt idx="641">
                  <c:v>0.45767297548680741</c:v>
                </c:pt>
                <c:pt idx="642">
                  <c:v>0.45767297548680741</c:v>
                </c:pt>
                <c:pt idx="643">
                  <c:v>0.45908233416189254</c:v>
                </c:pt>
                <c:pt idx="644">
                  <c:v>0.45908233416189254</c:v>
                </c:pt>
                <c:pt idx="645">
                  <c:v>0.46026576576636297</c:v>
                </c:pt>
                <c:pt idx="646">
                  <c:v>0.46026576576636297</c:v>
                </c:pt>
                <c:pt idx="647">
                  <c:v>0.46108157700109553</c:v>
                </c:pt>
                <c:pt idx="648">
                  <c:v>0.46108157700109553</c:v>
                </c:pt>
                <c:pt idx="649">
                  <c:v>0.46199161191286348</c:v>
                </c:pt>
                <c:pt idx="650">
                  <c:v>0.46199161191286348</c:v>
                </c:pt>
                <c:pt idx="651">
                  <c:v>0.4628074231475961</c:v>
                </c:pt>
                <c:pt idx="652">
                  <c:v>0.4628074231475961</c:v>
                </c:pt>
                <c:pt idx="653">
                  <c:v>0.46433398150163391</c:v>
                </c:pt>
                <c:pt idx="654">
                  <c:v>0.46433398150163391</c:v>
                </c:pt>
                <c:pt idx="655">
                  <c:v>0.46572693361199435</c:v>
                </c:pt>
                <c:pt idx="656">
                  <c:v>0.46572693361199435</c:v>
                </c:pt>
                <c:pt idx="657">
                  <c:v>0.46639192869936691</c:v>
                </c:pt>
                <c:pt idx="658">
                  <c:v>0.46639192869936691</c:v>
                </c:pt>
                <c:pt idx="659">
                  <c:v>0.46705692378673952</c:v>
                </c:pt>
                <c:pt idx="660">
                  <c:v>0.46705692378673952</c:v>
                </c:pt>
                <c:pt idx="661">
                  <c:v>0.46847366100361454</c:v>
                </c:pt>
                <c:pt idx="662">
                  <c:v>0.46847366100361454</c:v>
                </c:pt>
                <c:pt idx="663">
                  <c:v>0.46975853681532947</c:v>
                </c:pt>
                <c:pt idx="664">
                  <c:v>0.46975853681532947</c:v>
                </c:pt>
                <c:pt idx="665">
                  <c:v>0.47066857172709742</c:v>
                </c:pt>
                <c:pt idx="666">
                  <c:v>0.47066857172709742</c:v>
                </c:pt>
                <c:pt idx="667">
                  <c:v>0.47241683082931218</c:v>
                </c:pt>
                <c:pt idx="668">
                  <c:v>0.47241683082931218</c:v>
                </c:pt>
                <c:pt idx="669">
                  <c:v>0.47329519576303758</c:v>
                </c:pt>
                <c:pt idx="670">
                  <c:v>0.47329519576303758</c:v>
                </c:pt>
                <c:pt idx="671">
                  <c:v>0.47477980971741512</c:v>
                </c:pt>
                <c:pt idx="672">
                  <c:v>0.47477980971741512</c:v>
                </c:pt>
                <c:pt idx="673">
                  <c:v>0.4756557980400602</c:v>
                </c:pt>
                <c:pt idx="674">
                  <c:v>0.4756557980400602</c:v>
                </c:pt>
                <c:pt idx="675">
                  <c:v>0.47718235639409801</c:v>
                </c:pt>
                <c:pt idx="676">
                  <c:v>0.47718235639409801</c:v>
                </c:pt>
                <c:pt idx="677">
                  <c:v>0.47924337856860921</c:v>
                </c:pt>
                <c:pt idx="678">
                  <c:v>0.47924337856860921</c:v>
                </c:pt>
                <c:pt idx="679">
                  <c:v>0.48063633067896966</c:v>
                </c:pt>
                <c:pt idx="680">
                  <c:v>0.48063633067896966</c:v>
                </c:pt>
                <c:pt idx="681">
                  <c:v>0.48204568935405478</c:v>
                </c:pt>
                <c:pt idx="682">
                  <c:v>0.48204568935405478</c:v>
                </c:pt>
                <c:pt idx="683">
                  <c:v>0.48322912095852522</c:v>
                </c:pt>
                <c:pt idx="684">
                  <c:v>0.48322912095852522</c:v>
                </c:pt>
                <c:pt idx="685">
                  <c:v>0.48413915587029316</c:v>
                </c:pt>
                <c:pt idx="686">
                  <c:v>0.48413915587029316</c:v>
                </c:pt>
                <c:pt idx="687">
                  <c:v>0.48516050532488147</c:v>
                </c:pt>
                <c:pt idx="688">
                  <c:v>0.48516050532488147</c:v>
                </c:pt>
                <c:pt idx="689">
                  <c:v>0.48634393692935185</c:v>
                </c:pt>
                <c:pt idx="690">
                  <c:v>0.48634393692935185</c:v>
                </c:pt>
                <c:pt idx="691">
                  <c:v>0.48873286513179875</c:v>
                </c:pt>
                <c:pt idx="692">
                  <c:v>0.48873286513179875</c:v>
                </c:pt>
                <c:pt idx="693">
                  <c:v>0.48945531632727801</c:v>
                </c:pt>
                <c:pt idx="694">
                  <c:v>0.48945531632727801</c:v>
                </c:pt>
                <c:pt idx="695">
                  <c:v>0.49098187468131582</c:v>
                </c:pt>
                <c:pt idx="696">
                  <c:v>0.49098187468131582</c:v>
                </c:pt>
                <c:pt idx="697">
                  <c:v>0.49250746861722311</c:v>
                </c:pt>
                <c:pt idx="698">
                  <c:v>0.49250746861722311</c:v>
                </c:pt>
                <c:pt idx="699">
                  <c:v>0.49469527648979228</c:v>
                </c:pt>
                <c:pt idx="700">
                  <c:v>0.49469527648979228</c:v>
                </c:pt>
                <c:pt idx="701">
                  <c:v>0.49677061396796945</c:v>
                </c:pt>
                <c:pt idx="702">
                  <c:v>0.49677061396796945</c:v>
                </c:pt>
                <c:pt idx="703">
                  <c:v>0.49757783231158337</c:v>
                </c:pt>
                <c:pt idx="704">
                  <c:v>0.49757783231158337</c:v>
                </c:pt>
                <c:pt idx="705">
                  <c:v>0.49898719098666849</c:v>
                </c:pt>
                <c:pt idx="706">
                  <c:v>0.49898719098666849</c:v>
                </c:pt>
                <c:pt idx="707">
                  <c:v>0.50011632427583563</c:v>
                </c:pt>
                <c:pt idx="708">
                  <c:v>0.50011632427583563</c:v>
                </c:pt>
                <c:pt idx="709">
                  <c:v>0.50083877547131483</c:v>
                </c:pt>
                <c:pt idx="710">
                  <c:v>0.50083877547131483</c:v>
                </c:pt>
                <c:pt idx="711">
                  <c:v>0.50322770367376179</c:v>
                </c:pt>
                <c:pt idx="712">
                  <c:v>0.50322770367376179</c:v>
                </c:pt>
                <c:pt idx="713">
                  <c:v>0.50410606860748719</c:v>
                </c:pt>
                <c:pt idx="714">
                  <c:v>0.50410606860748719</c:v>
                </c:pt>
                <c:pt idx="715">
                  <c:v>0.50512741806207551</c:v>
                </c:pt>
                <c:pt idx="716">
                  <c:v>0.50512741806207551</c:v>
                </c:pt>
                <c:pt idx="717">
                  <c:v>0.5065203701724359</c:v>
                </c:pt>
                <c:pt idx="718">
                  <c:v>0.5065203701724359</c:v>
                </c:pt>
                <c:pt idx="719">
                  <c:v>0.50798143217737957</c:v>
                </c:pt>
                <c:pt idx="720">
                  <c:v>0.50798143217737957</c:v>
                </c:pt>
                <c:pt idx="721">
                  <c:v>0.50911056546654665</c:v>
                </c:pt>
                <c:pt idx="722">
                  <c:v>0.50911056546654665</c:v>
                </c:pt>
                <c:pt idx="723">
                  <c:v>0.51158536015122069</c:v>
                </c:pt>
                <c:pt idx="724">
                  <c:v>0.51158536015122069</c:v>
                </c:pt>
                <c:pt idx="725">
                  <c:v>0.51246134847386571</c:v>
                </c:pt>
                <c:pt idx="726">
                  <c:v>0.51246134847386571</c:v>
                </c:pt>
                <c:pt idx="727">
                  <c:v>0.51385430058422621</c:v>
                </c:pt>
                <c:pt idx="728">
                  <c:v>0.51385430058422621</c:v>
                </c:pt>
                <c:pt idx="729">
                  <c:v>0.51498343387339329</c:v>
                </c:pt>
                <c:pt idx="730">
                  <c:v>0.51498343387339329</c:v>
                </c:pt>
                <c:pt idx="731">
                  <c:v>0.51646804782777089</c:v>
                </c:pt>
                <c:pt idx="732">
                  <c:v>0.51646804782777089</c:v>
                </c:pt>
                <c:pt idx="733">
                  <c:v>0.51775292363948577</c:v>
                </c:pt>
                <c:pt idx="734">
                  <c:v>0.51775292363948577</c:v>
                </c:pt>
                <c:pt idx="735">
                  <c:v>0.51916966085636085</c:v>
                </c:pt>
                <c:pt idx="736">
                  <c:v>0.51916966085636085</c:v>
                </c:pt>
                <c:pt idx="737">
                  <c:v>0.52058639807323581</c:v>
                </c:pt>
                <c:pt idx="738">
                  <c:v>0.52058639807323581</c:v>
                </c:pt>
                <c:pt idx="739">
                  <c:v>0.52139361641684978</c:v>
                </c:pt>
                <c:pt idx="740">
                  <c:v>0.52139361641684978</c:v>
                </c:pt>
                <c:pt idx="741">
                  <c:v>0.52257704802132021</c:v>
                </c:pt>
                <c:pt idx="742">
                  <c:v>0.52257704802132021</c:v>
                </c:pt>
                <c:pt idx="743">
                  <c:v>0.52410264195722744</c:v>
                </c:pt>
                <c:pt idx="744">
                  <c:v>0.52410264195722744</c:v>
                </c:pt>
                <c:pt idx="745">
                  <c:v>0.52578454854904921</c:v>
                </c:pt>
                <c:pt idx="746">
                  <c:v>0.52578454854904921</c:v>
                </c:pt>
                <c:pt idx="747">
                  <c:v>0.52719390722413428</c:v>
                </c:pt>
                <c:pt idx="748">
                  <c:v>0.52719390722413428</c:v>
                </c:pt>
                <c:pt idx="749">
                  <c:v>0.52872046557817209</c:v>
                </c:pt>
                <c:pt idx="750">
                  <c:v>0.52872046557817209</c:v>
                </c:pt>
                <c:pt idx="751">
                  <c:v>0.53181030448151012</c:v>
                </c:pt>
                <c:pt idx="752">
                  <c:v>0.53181030448151012</c:v>
                </c:pt>
                <c:pt idx="753">
                  <c:v>0.53257180709292784</c:v>
                </c:pt>
                <c:pt idx="754">
                  <c:v>0.53257180709292784</c:v>
                </c:pt>
                <c:pt idx="755">
                  <c:v>0.53375523869739827</c:v>
                </c:pt>
                <c:pt idx="756">
                  <c:v>0.53375523869739827</c:v>
                </c:pt>
                <c:pt idx="757">
                  <c:v>0.53514819080775877</c:v>
                </c:pt>
                <c:pt idx="758">
                  <c:v>0.53514819080775877</c:v>
                </c:pt>
                <c:pt idx="759">
                  <c:v>0.53605822571952666</c:v>
                </c:pt>
                <c:pt idx="760">
                  <c:v>0.53605822571952666</c:v>
                </c:pt>
                <c:pt idx="761">
                  <c:v>0.53693659065325205</c:v>
                </c:pt>
                <c:pt idx="762">
                  <c:v>0.53693659065325205</c:v>
                </c:pt>
                <c:pt idx="763">
                  <c:v>0.53846218458915929</c:v>
                </c:pt>
                <c:pt idx="764">
                  <c:v>0.53846218458915929</c:v>
                </c:pt>
                <c:pt idx="765">
                  <c:v>0.53978902114825422</c:v>
                </c:pt>
                <c:pt idx="766">
                  <c:v>0.53978902114825422</c:v>
                </c:pt>
                <c:pt idx="767">
                  <c:v>0.54131461508416145</c:v>
                </c:pt>
                <c:pt idx="768">
                  <c:v>0.54131461508416145</c:v>
                </c:pt>
                <c:pt idx="769">
                  <c:v>0.54203706627964077</c:v>
                </c:pt>
                <c:pt idx="770">
                  <c:v>0.54203706627964077</c:v>
                </c:pt>
                <c:pt idx="771">
                  <c:v>0.54344642495472584</c:v>
                </c:pt>
                <c:pt idx="772">
                  <c:v>0.54344642495472584</c:v>
                </c:pt>
                <c:pt idx="773">
                  <c:v>0.54483937706508634</c:v>
                </c:pt>
                <c:pt idx="774">
                  <c:v>0.54483937706508634</c:v>
                </c:pt>
                <c:pt idx="775">
                  <c:v>0.54632399101946383</c:v>
                </c:pt>
                <c:pt idx="776">
                  <c:v>0.54632399101946383</c:v>
                </c:pt>
                <c:pt idx="777">
                  <c:v>0.54838501319397503</c:v>
                </c:pt>
                <c:pt idx="778">
                  <c:v>0.54838501319397503</c:v>
                </c:pt>
                <c:pt idx="779">
                  <c:v>0.5498460751989187</c:v>
                </c:pt>
                <c:pt idx="780">
                  <c:v>0.5498460751989187</c:v>
                </c:pt>
                <c:pt idx="781">
                  <c:v>0.55125543387400389</c:v>
                </c:pt>
                <c:pt idx="782">
                  <c:v>0.55125543387400389</c:v>
                </c:pt>
                <c:pt idx="783">
                  <c:v>0.5521314221966489</c:v>
                </c:pt>
                <c:pt idx="784">
                  <c:v>0.5521314221966489</c:v>
                </c:pt>
                <c:pt idx="785">
                  <c:v>0.5536160361510265</c:v>
                </c:pt>
                <c:pt idx="786">
                  <c:v>0.5536160361510265</c:v>
                </c:pt>
                <c:pt idx="787">
                  <c:v>0.55514163008693374</c:v>
                </c:pt>
                <c:pt idx="788">
                  <c:v>0.55514163008693374</c:v>
                </c:pt>
                <c:pt idx="789">
                  <c:v>0.55662624404131122</c:v>
                </c:pt>
                <c:pt idx="790">
                  <c:v>0.55662624404131122</c:v>
                </c:pt>
                <c:pt idx="791">
                  <c:v>0.55815280239534903</c:v>
                </c:pt>
                <c:pt idx="792">
                  <c:v>0.55815280239534903</c:v>
                </c:pt>
                <c:pt idx="793">
                  <c:v>0.55943767820706403</c:v>
                </c:pt>
                <c:pt idx="794">
                  <c:v>0.55943767820706403</c:v>
                </c:pt>
                <c:pt idx="795">
                  <c:v>0.56096423656110184</c:v>
                </c:pt>
                <c:pt idx="796">
                  <c:v>0.56096423656110184</c:v>
                </c:pt>
                <c:pt idx="797">
                  <c:v>0.56209336985026903</c:v>
                </c:pt>
                <c:pt idx="798">
                  <c:v>0.56209336985026903</c:v>
                </c:pt>
                <c:pt idx="799">
                  <c:v>0.56377527644209069</c:v>
                </c:pt>
                <c:pt idx="800">
                  <c:v>0.56377527644209069</c:v>
                </c:pt>
                <c:pt idx="801">
                  <c:v>0.56583629861660201</c:v>
                </c:pt>
                <c:pt idx="802">
                  <c:v>0.56583629861660201</c:v>
                </c:pt>
                <c:pt idx="803">
                  <c:v>0.5673209125709795</c:v>
                </c:pt>
                <c:pt idx="804">
                  <c:v>0.5673209125709795</c:v>
                </c:pt>
                <c:pt idx="805">
                  <c:v>0.56841589797436309</c:v>
                </c:pt>
                <c:pt idx="806">
                  <c:v>0.56841589797436309</c:v>
                </c:pt>
                <c:pt idx="807">
                  <c:v>0.56922311631797706</c:v>
                </c:pt>
                <c:pt idx="808">
                  <c:v>0.56922311631797706</c:v>
                </c:pt>
                <c:pt idx="809">
                  <c:v>0.57090502290979883</c:v>
                </c:pt>
                <c:pt idx="810">
                  <c:v>0.57090502290979883</c:v>
                </c:pt>
                <c:pt idx="811">
                  <c:v>0.5725869295016206</c:v>
                </c:pt>
                <c:pt idx="812">
                  <c:v>0.5725869295016206</c:v>
                </c:pt>
                <c:pt idx="813">
                  <c:v>0.57346291782426562</c:v>
                </c:pt>
                <c:pt idx="814">
                  <c:v>0.57346291782426562</c:v>
                </c:pt>
                <c:pt idx="815">
                  <c:v>0.57422442043568334</c:v>
                </c:pt>
                <c:pt idx="816">
                  <c:v>0.57422442043568334</c:v>
                </c:pt>
                <c:pt idx="817">
                  <c:v>0.57641222830825256</c:v>
                </c:pt>
                <c:pt idx="818">
                  <c:v>0.57641222830825256</c:v>
                </c:pt>
                <c:pt idx="819">
                  <c:v>0.57847325048276377</c:v>
                </c:pt>
                <c:pt idx="820">
                  <c:v>0.57847325048276377</c:v>
                </c:pt>
                <c:pt idx="821">
                  <c:v>0.57913824557013638</c:v>
                </c:pt>
                <c:pt idx="822">
                  <c:v>0.57913824557013638</c:v>
                </c:pt>
                <c:pt idx="823">
                  <c:v>0.58066383950604361</c:v>
                </c:pt>
                <c:pt idx="824">
                  <c:v>0.58066383950604361</c:v>
                </c:pt>
                <c:pt idx="825">
                  <c:v>0.58207319818112879</c:v>
                </c:pt>
                <c:pt idx="826">
                  <c:v>0.58207319818112879</c:v>
                </c:pt>
                <c:pt idx="827">
                  <c:v>0.58454799286580272</c:v>
                </c:pt>
                <c:pt idx="828">
                  <c:v>0.58454799286580272</c:v>
                </c:pt>
                <c:pt idx="829">
                  <c:v>0.58544835395729411</c:v>
                </c:pt>
                <c:pt idx="830">
                  <c:v>0.58544835395729411</c:v>
                </c:pt>
                <c:pt idx="831">
                  <c:v>0.586358388869062</c:v>
                </c:pt>
                <c:pt idx="832">
                  <c:v>0.586358388869062</c:v>
                </c:pt>
                <c:pt idx="833">
                  <c:v>0.58723675380278739</c:v>
                </c:pt>
                <c:pt idx="834">
                  <c:v>0.58723675380278739</c:v>
                </c:pt>
                <c:pt idx="835">
                  <c:v>0.58931209128096451</c:v>
                </c:pt>
                <c:pt idx="836">
                  <c:v>0.58931209128096451</c:v>
                </c:pt>
                <c:pt idx="837">
                  <c:v>0.59083768521687174</c:v>
                </c:pt>
                <c:pt idx="838">
                  <c:v>0.59083768521687174</c:v>
                </c:pt>
                <c:pt idx="839">
                  <c:v>0.59212256102858674</c:v>
                </c:pt>
                <c:pt idx="840">
                  <c:v>0.59212256102858674</c:v>
                </c:pt>
                <c:pt idx="841">
                  <c:v>0.59325169431775382</c:v>
                </c:pt>
                <c:pt idx="842">
                  <c:v>0.59325169431775382</c:v>
                </c:pt>
                <c:pt idx="843">
                  <c:v>0.59412768264039895</c:v>
                </c:pt>
                <c:pt idx="844">
                  <c:v>0.59412768264039895</c:v>
                </c:pt>
                <c:pt idx="845">
                  <c:v>0.59552063475075945</c:v>
                </c:pt>
                <c:pt idx="846">
                  <c:v>0.59552063475075945</c:v>
                </c:pt>
                <c:pt idx="847">
                  <c:v>0.59676081230681333</c:v>
                </c:pt>
                <c:pt idx="848">
                  <c:v>0.59676081230681333</c:v>
                </c:pt>
                <c:pt idx="849">
                  <c:v>0.59817017098189851</c:v>
                </c:pt>
                <c:pt idx="850">
                  <c:v>0.59817017098189851</c:v>
                </c:pt>
                <c:pt idx="851">
                  <c:v>0.599654784936276</c:v>
                </c:pt>
                <c:pt idx="852">
                  <c:v>0.599654784936276</c:v>
                </c:pt>
                <c:pt idx="853">
                  <c:v>0.600564819848044</c:v>
                </c:pt>
                <c:pt idx="854">
                  <c:v>0.600564819848044</c:v>
                </c:pt>
                <c:pt idx="855">
                  <c:v>0.60122981493541661</c:v>
                </c:pt>
                <c:pt idx="856">
                  <c:v>0.60122981493541661</c:v>
                </c:pt>
                <c:pt idx="857">
                  <c:v>0.60189481002278911</c:v>
                </c:pt>
                <c:pt idx="858">
                  <c:v>0.60189481002278911</c:v>
                </c:pt>
                <c:pt idx="859">
                  <c:v>0.60395583219730042</c:v>
                </c:pt>
                <c:pt idx="860">
                  <c:v>0.60395583219730042</c:v>
                </c:pt>
                <c:pt idx="861">
                  <c:v>0.60704567110063834</c:v>
                </c:pt>
                <c:pt idx="862">
                  <c:v>0.60704567110063834</c:v>
                </c:pt>
                <c:pt idx="863">
                  <c:v>0.60872757769246011</c:v>
                </c:pt>
                <c:pt idx="864">
                  <c:v>0.60872757769246011</c:v>
                </c:pt>
                <c:pt idx="865">
                  <c:v>0.60948908030387783</c:v>
                </c:pt>
                <c:pt idx="866">
                  <c:v>0.60948908030387783</c:v>
                </c:pt>
                <c:pt idx="867">
                  <c:v>0.61155010247838915</c:v>
                </c:pt>
                <c:pt idx="868">
                  <c:v>0.61155010247838915</c:v>
                </c:pt>
                <c:pt idx="869">
                  <c:v>0.61227255367386835</c:v>
                </c:pt>
                <c:pt idx="870">
                  <c:v>0.61227255367386835</c:v>
                </c:pt>
                <c:pt idx="871">
                  <c:v>0.61466148187631531</c:v>
                </c:pt>
                <c:pt idx="872">
                  <c:v>0.61466148187631531</c:v>
                </c:pt>
                <c:pt idx="873">
                  <c:v>0.61705041007876216</c:v>
                </c:pt>
                <c:pt idx="874">
                  <c:v>0.61705041007876216</c:v>
                </c:pt>
                <c:pt idx="875">
                  <c:v>0.61873231667058393</c:v>
                </c:pt>
                <c:pt idx="876">
                  <c:v>0.61873231667058393</c:v>
                </c:pt>
                <c:pt idx="877">
                  <c:v>0.61991574827505436</c:v>
                </c:pt>
                <c:pt idx="878">
                  <c:v>0.61991574827505436</c:v>
                </c:pt>
                <c:pt idx="879">
                  <c:v>0.62073155950978687</c:v>
                </c:pt>
                <c:pt idx="880">
                  <c:v>0.62073155950978687</c:v>
                </c:pt>
                <c:pt idx="881">
                  <c:v>0.62212451162014737</c:v>
                </c:pt>
                <c:pt idx="882">
                  <c:v>0.62212451162014737</c:v>
                </c:pt>
                <c:pt idx="883">
                  <c:v>0.62294032285487999</c:v>
                </c:pt>
                <c:pt idx="884">
                  <c:v>0.62294032285487999</c:v>
                </c:pt>
                <c:pt idx="885">
                  <c:v>0.62370182546629771</c:v>
                </c:pt>
                <c:pt idx="886">
                  <c:v>0.62370182546629771</c:v>
                </c:pt>
                <c:pt idx="887">
                  <c:v>0.62472317492088603</c:v>
                </c:pt>
                <c:pt idx="888">
                  <c:v>0.62472317492088603</c:v>
                </c:pt>
                <c:pt idx="889">
                  <c:v>0.62563320983265391</c:v>
                </c:pt>
                <c:pt idx="890">
                  <c:v>0.62563320983265391</c:v>
                </c:pt>
                <c:pt idx="891">
                  <c:v>0.62635566102813323</c:v>
                </c:pt>
                <c:pt idx="892">
                  <c:v>0.62635566102813323</c:v>
                </c:pt>
                <c:pt idx="893">
                  <c:v>0.62753909263260355</c:v>
                </c:pt>
                <c:pt idx="894">
                  <c:v>0.62753909263260355</c:v>
                </c:pt>
                <c:pt idx="895">
                  <c:v>0.62830059524402126</c:v>
                </c:pt>
                <c:pt idx="896">
                  <c:v>0.62830059524402126</c:v>
                </c:pt>
                <c:pt idx="897">
                  <c:v>0.62954077280007525</c:v>
                </c:pt>
                <c:pt idx="898">
                  <c:v>0.62954077280007525</c:v>
                </c:pt>
                <c:pt idx="899">
                  <c:v>0.6320155674847493</c:v>
                </c:pt>
                <c:pt idx="900">
                  <c:v>0.6320155674847493</c:v>
                </c:pt>
                <c:pt idx="901">
                  <c:v>0.63289393241847469</c:v>
                </c:pt>
                <c:pt idx="902">
                  <c:v>0.63289393241847469</c:v>
                </c:pt>
                <c:pt idx="903">
                  <c:v>0.63528286062092154</c:v>
                </c:pt>
                <c:pt idx="904">
                  <c:v>0.63528286062092154</c:v>
                </c:pt>
                <c:pt idx="905">
                  <c:v>0.63616122555464694</c:v>
                </c:pt>
                <c:pt idx="906">
                  <c:v>0.63616122555464694</c:v>
                </c:pt>
                <c:pt idx="907">
                  <c:v>0.63748806211374187</c:v>
                </c:pt>
                <c:pt idx="908">
                  <c:v>0.63748806211374187</c:v>
                </c:pt>
                <c:pt idx="909">
                  <c:v>0.6390136560496491</c:v>
                </c:pt>
                <c:pt idx="910">
                  <c:v>0.6390136560496491</c:v>
                </c:pt>
                <c:pt idx="911">
                  <c:v>0.6398920209833745</c:v>
                </c:pt>
                <c:pt idx="912">
                  <c:v>0.6398920209833745</c:v>
                </c:pt>
                <c:pt idx="913">
                  <c:v>0.640557016070747</c:v>
                </c:pt>
                <c:pt idx="914">
                  <c:v>0.640557016070747</c:v>
                </c:pt>
                <c:pt idx="915">
                  <c:v>0.64196637474583218</c:v>
                </c:pt>
                <c:pt idx="916">
                  <c:v>0.64196637474583218</c:v>
                </c:pt>
                <c:pt idx="917">
                  <c:v>0.64284473967955758</c:v>
                </c:pt>
                <c:pt idx="918">
                  <c:v>0.64284473967955758</c:v>
                </c:pt>
                <c:pt idx="919">
                  <c:v>0.64425409835464265</c:v>
                </c:pt>
                <c:pt idx="920">
                  <c:v>0.64425409835464265</c:v>
                </c:pt>
                <c:pt idx="921">
                  <c:v>0.64543752995911308</c:v>
                </c:pt>
                <c:pt idx="922">
                  <c:v>0.64543752995911308</c:v>
                </c:pt>
                <c:pt idx="923">
                  <c:v>0.6461990325705308</c:v>
                </c:pt>
                <c:pt idx="924">
                  <c:v>0.6461990325705308</c:v>
                </c:pt>
                <c:pt idx="925">
                  <c:v>0.64760839124561587</c:v>
                </c:pt>
                <c:pt idx="926">
                  <c:v>0.64760839124561587</c:v>
                </c:pt>
                <c:pt idx="927">
                  <c:v>0.64909300519999347</c:v>
                </c:pt>
                <c:pt idx="928">
                  <c:v>0.64909300519999347</c:v>
                </c:pt>
                <c:pt idx="929">
                  <c:v>0.64997137013371886</c:v>
                </c:pt>
                <c:pt idx="930">
                  <c:v>0.64997137013371886</c:v>
                </c:pt>
                <c:pt idx="931">
                  <c:v>0.65165327672554063</c:v>
                </c:pt>
                <c:pt idx="932">
                  <c:v>0.65165327672554063</c:v>
                </c:pt>
                <c:pt idx="933">
                  <c:v>0.65246049506915449</c:v>
                </c:pt>
                <c:pt idx="934">
                  <c:v>0.65246049506915449</c:v>
                </c:pt>
                <c:pt idx="935">
                  <c:v>0.65374537088086948</c:v>
                </c:pt>
                <c:pt idx="936">
                  <c:v>0.65374537088086948</c:v>
                </c:pt>
                <c:pt idx="937">
                  <c:v>0.65513832299122998</c:v>
                </c:pt>
                <c:pt idx="938">
                  <c:v>0.65513832299122998</c:v>
                </c:pt>
                <c:pt idx="939">
                  <c:v>0.65659938499617354</c:v>
                </c:pt>
                <c:pt idx="940">
                  <c:v>0.65659938499617354</c:v>
                </c:pt>
                <c:pt idx="941">
                  <c:v>0.65808399895055114</c:v>
                </c:pt>
                <c:pt idx="942">
                  <c:v>0.65808399895055114</c:v>
                </c:pt>
                <c:pt idx="943">
                  <c:v>0.65960959288645837</c:v>
                </c:pt>
                <c:pt idx="944">
                  <c:v>0.65960959288645837</c:v>
                </c:pt>
                <c:pt idx="945">
                  <c:v>0.66027458797383098</c:v>
                </c:pt>
                <c:pt idx="946">
                  <c:v>0.66027458797383098</c:v>
                </c:pt>
                <c:pt idx="947">
                  <c:v>0.66175920192820847</c:v>
                </c:pt>
                <c:pt idx="948">
                  <c:v>0.66175920192820847</c:v>
                </c:pt>
                <c:pt idx="949">
                  <c:v>0.66242419701558108</c:v>
                </c:pt>
                <c:pt idx="950">
                  <c:v>0.66242419701558108</c:v>
                </c:pt>
                <c:pt idx="951">
                  <c:v>0.66330018533822621</c:v>
                </c:pt>
                <c:pt idx="952">
                  <c:v>0.66330018533822621</c:v>
                </c:pt>
                <c:pt idx="953">
                  <c:v>0.6646931374485866</c:v>
                </c:pt>
                <c:pt idx="954">
                  <c:v>0.6646931374485866</c:v>
                </c:pt>
                <c:pt idx="955">
                  <c:v>0.66708206565103356</c:v>
                </c:pt>
                <c:pt idx="956">
                  <c:v>0.66708206565103356</c:v>
                </c:pt>
                <c:pt idx="957">
                  <c:v>0.66876397224285522</c:v>
                </c:pt>
                <c:pt idx="958">
                  <c:v>0.66876397224285522</c:v>
                </c:pt>
                <c:pt idx="959">
                  <c:v>0.66952547485427305</c:v>
                </c:pt>
                <c:pt idx="960">
                  <c:v>0.66952547485427305</c:v>
                </c:pt>
                <c:pt idx="961">
                  <c:v>0.67040146317691807</c:v>
                </c:pt>
                <c:pt idx="962">
                  <c:v>0.67040146317691807</c:v>
                </c:pt>
                <c:pt idx="963">
                  <c:v>0.67208336976873984</c:v>
                </c:pt>
                <c:pt idx="964">
                  <c:v>0.67208336976873984</c:v>
                </c:pt>
                <c:pt idx="965">
                  <c:v>0.67360896370464707</c:v>
                </c:pt>
                <c:pt idx="966">
                  <c:v>0.67360896370464707</c:v>
                </c:pt>
                <c:pt idx="967">
                  <c:v>0.67451899861641507</c:v>
                </c:pt>
                <c:pt idx="968">
                  <c:v>0.67451899861641507</c:v>
                </c:pt>
                <c:pt idx="969">
                  <c:v>0.67532621696002904</c:v>
                </c:pt>
                <c:pt idx="970">
                  <c:v>0.67532621696002904</c:v>
                </c:pt>
                <c:pt idx="971">
                  <c:v>0.67656639451608291</c:v>
                </c:pt>
                <c:pt idx="972">
                  <c:v>0.67656639451608291</c:v>
                </c:pt>
                <c:pt idx="973">
                  <c:v>0.67809198845199026</c:v>
                </c:pt>
                <c:pt idx="974">
                  <c:v>0.67809198845199026</c:v>
                </c:pt>
                <c:pt idx="975">
                  <c:v>0.67889920679560412</c:v>
                </c:pt>
                <c:pt idx="976">
                  <c:v>0.67889920679560412</c:v>
                </c:pt>
                <c:pt idx="977">
                  <c:v>0.67971501803033674</c:v>
                </c:pt>
                <c:pt idx="978">
                  <c:v>0.67971501803033674</c:v>
                </c:pt>
                <c:pt idx="979">
                  <c:v>0.68218981271501067</c:v>
                </c:pt>
                <c:pt idx="980">
                  <c:v>0.68218981271501067</c:v>
                </c:pt>
                <c:pt idx="981">
                  <c:v>0.68358276482537117</c:v>
                </c:pt>
                <c:pt idx="982">
                  <c:v>0.68358276482537117</c:v>
                </c:pt>
                <c:pt idx="983">
                  <c:v>0.68424775991274378</c:v>
                </c:pt>
                <c:pt idx="984">
                  <c:v>0.68424775991274378</c:v>
                </c:pt>
                <c:pt idx="985">
                  <c:v>0.68573237386712127</c:v>
                </c:pt>
                <c:pt idx="986">
                  <c:v>0.68573237386712127</c:v>
                </c:pt>
                <c:pt idx="987">
                  <c:v>0.68686150715628835</c:v>
                </c:pt>
                <c:pt idx="988">
                  <c:v>0.68686150715628835</c:v>
                </c:pt>
                <c:pt idx="989">
                  <c:v>0.6883871010921957</c:v>
                </c:pt>
                <c:pt idx="990">
                  <c:v>0.6883871010921957</c:v>
                </c:pt>
                <c:pt idx="991">
                  <c:v>0.68979645976728077</c:v>
                </c:pt>
                <c:pt idx="992">
                  <c:v>0.68979645976728077</c:v>
                </c:pt>
                <c:pt idx="993">
                  <c:v>0.69128107372165837</c:v>
                </c:pt>
                <c:pt idx="994">
                  <c:v>0.69128107372165837</c:v>
                </c:pt>
                <c:pt idx="995">
                  <c:v>0.69392549304207563</c:v>
                </c:pt>
                <c:pt idx="996">
                  <c:v>0.69392549304207563</c:v>
                </c:pt>
                <c:pt idx="997">
                  <c:v>0.69545108697798286</c:v>
                </c:pt>
                <c:pt idx="998">
                  <c:v>0.69545108697798286</c:v>
                </c:pt>
                <c:pt idx="999">
                  <c:v>0.69632707530062798</c:v>
                </c:pt>
                <c:pt idx="1000">
                  <c:v>0.69632707530062798</c:v>
                </c:pt>
                <c:pt idx="1001">
                  <c:v>0.69720306362327311</c:v>
                </c:pt>
                <c:pt idx="1002">
                  <c:v>0.69720306362327311</c:v>
                </c:pt>
                <c:pt idx="1003">
                  <c:v>0.69801028196688697</c:v>
                </c:pt>
                <c:pt idx="1004">
                  <c:v>0.69801028196688697</c:v>
                </c:pt>
                <c:pt idx="1005">
                  <c:v>0.69969218855870874</c:v>
                </c:pt>
                <c:pt idx="1006">
                  <c:v>0.69969218855870874</c:v>
                </c:pt>
                <c:pt idx="1007">
                  <c:v>0.70041463975418805</c:v>
                </c:pt>
                <c:pt idx="1008">
                  <c:v>0.70041463975418805</c:v>
                </c:pt>
                <c:pt idx="1009">
                  <c:v>0.70182399842927312</c:v>
                </c:pt>
                <c:pt idx="1010">
                  <c:v>0.70182399842927312</c:v>
                </c:pt>
                <c:pt idx="1011">
                  <c:v>0.70254644962475243</c:v>
                </c:pt>
                <c:pt idx="1012">
                  <c:v>0.70254644962475243</c:v>
                </c:pt>
                <c:pt idx="1013">
                  <c:v>0.7042947087269672</c:v>
                </c:pt>
                <c:pt idx="1014">
                  <c:v>0.7042947087269672</c:v>
                </c:pt>
                <c:pt idx="1015">
                  <c:v>0.70570406740205227</c:v>
                </c:pt>
                <c:pt idx="1016">
                  <c:v>0.70570406740205227</c:v>
                </c:pt>
                <c:pt idx="1017">
                  <c:v>0.70709701951241277</c:v>
                </c:pt>
                <c:pt idx="1018">
                  <c:v>0.70709701951241277</c:v>
                </c:pt>
                <c:pt idx="1019">
                  <c:v>0.70858163346679026</c:v>
                </c:pt>
                <c:pt idx="1020">
                  <c:v>0.70858163346679026</c:v>
                </c:pt>
                <c:pt idx="1021">
                  <c:v>0.70949166837855826</c:v>
                </c:pt>
                <c:pt idx="1022">
                  <c:v>0.70949166837855826</c:v>
                </c:pt>
                <c:pt idx="1023">
                  <c:v>0.71188059658100511</c:v>
                </c:pt>
                <c:pt idx="1024">
                  <c:v>0.71188059658100511</c:v>
                </c:pt>
                <c:pt idx="1025">
                  <c:v>0.71406840445357433</c:v>
                </c:pt>
                <c:pt idx="1026">
                  <c:v>0.71406840445357433</c:v>
                </c:pt>
                <c:pt idx="1027">
                  <c:v>0.71497843936534222</c:v>
                </c:pt>
                <c:pt idx="1028">
                  <c:v>0.71497843936534222</c:v>
                </c:pt>
                <c:pt idx="1029">
                  <c:v>0.71585442768798735</c:v>
                </c:pt>
                <c:pt idx="1030">
                  <c:v>0.71585442768798735</c:v>
                </c:pt>
                <c:pt idx="1031">
                  <c:v>0.71666164603160132</c:v>
                </c:pt>
                <c:pt idx="1032">
                  <c:v>0.71666164603160132</c:v>
                </c:pt>
                <c:pt idx="1033">
                  <c:v>0.71775663143498492</c:v>
                </c:pt>
                <c:pt idx="1034">
                  <c:v>0.71775663143498492</c:v>
                </c:pt>
                <c:pt idx="1035">
                  <c:v>0.71983196891316203</c:v>
                </c:pt>
                <c:pt idx="1036">
                  <c:v>0.71983196891316203</c:v>
                </c:pt>
                <c:pt idx="1037">
                  <c:v>0.72124132758824711</c:v>
                </c:pt>
                <c:pt idx="1038">
                  <c:v>0.72124132758824711</c:v>
                </c:pt>
                <c:pt idx="1039">
                  <c:v>0.72388574690866447</c:v>
                </c:pt>
                <c:pt idx="1040">
                  <c:v>0.72388574690866447</c:v>
                </c:pt>
                <c:pt idx="1041">
                  <c:v>0.72529510558374954</c:v>
                </c:pt>
                <c:pt idx="1042">
                  <c:v>0.72529510558374954</c:v>
                </c:pt>
                <c:pt idx="1043">
                  <c:v>0.72596010067112215</c:v>
                </c:pt>
                <c:pt idx="1044">
                  <c:v>0.72596010067112215</c:v>
                </c:pt>
                <c:pt idx="1045">
                  <c:v>0.72735305278148266</c:v>
                </c:pt>
                <c:pt idx="1046">
                  <c:v>0.72735305278148266</c:v>
                </c:pt>
                <c:pt idx="1047">
                  <c:v>0.72910131188369742</c:v>
                </c:pt>
                <c:pt idx="1048">
                  <c:v>0.72910131188369742</c:v>
                </c:pt>
                <c:pt idx="1049">
                  <c:v>0.73149024008614427</c:v>
                </c:pt>
                <c:pt idx="1050">
                  <c:v>0.73149024008614427</c:v>
                </c:pt>
                <c:pt idx="1051">
                  <c:v>0.73356557756432139</c:v>
                </c:pt>
                <c:pt idx="1052">
                  <c:v>0.73356557756432139</c:v>
                </c:pt>
                <c:pt idx="1053">
                  <c:v>0.73505019151869899</c:v>
                </c:pt>
                <c:pt idx="1054">
                  <c:v>0.73505019151869899</c:v>
                </c:pt>
                <c:pt idx="1055">
                  <c:v>0.73673209811052076</c:v>
                </c:pt>
                <c:pt idx="1056">
                  <c:v>0.73673209811052076</c:v>
                </c:pt>
                <c:pt idx="1057">
                  <c:v>0.73841400470234253</c:v>
                </c:pt>
                <c:pt idx="1058">
                  <c:v>0.73841400470234253</c:v>
                </c:pt>
                <c:pt idx="1059">
                  <c:v>0.74048934218051965</c:v>
                </c:pt>
                <c:pt idx="1060">
                  <c:v>0.74048934218051965</c:v>
                </c:pt>
                <c:pt idx="1061">
                  <c:v>0.74139937709228754</c:v>
                </c:pt>
                <c:pt idx="1062">
                  <c:v>0.74139937709228754</c:v>
                </c:pt>
                <c:pt idx="1063">
                  <c:v>0.74358718496485676</c:v>
                </c:pt>
                <c:pt idx="1064">
                  <c:v>0.74358718496485676</c:v>
                </c:pt>
                <c:pt idx="1065">
                  <c:v>0.74564820713936797</c:v>
                </c:pt>
                <c:pt idx="1066">
                  <c:v>0.74564820713936797</c:v>
                </c:pt>
                <c:pt idx="1067">
                  <c:v>0.74705756581445315</c:v>
                </c:pt>
                <c:pt idx="1068">
                  <c:v>0.74705756581445315</c:v>
                </c:pt>
                <c:pt idx="1069">
                  <c:v>0.7494464940169</c:v>
                </c:pt>
                <c:pt idx="1070">
                  <c:v>0.7494464940169</c:v>
                </c:pt>
                <c:pt idx="1071">
                  <c:v>0.75011148910427261</c:v>
                </c:pt>
                <c:pt idx="1072">
                  <c:v>0.75011148910427261</c:v>
                </c:pt>
                <c:pt idx="1073">
                  <c:v>0.7513516666603266</c:v>
                </c:pt>
                <c:pt idx="1074">
                  <c:v>0.7513516666603266</c:v>
                </c:pt>
                <c:pt idx="1075">
                  <c:v>0.75201666174769921</c:v>
                </c:pt>
                <c:pt idx="1076">
                  <c:v>0.75201666174769921</c:v>
                </c:pt>
                <c:pt idx="1077">
                  <c:v>0.75330153755941409</c:v>
                </c:pt>
                <c:pt idx="1078">
                  <c:v>0.75330153755941409</c:v>
                </c:pt>
                <c:pt idx="1079">
                  <c:v>0.75443067084858129</c:v>
                </c:pt>
                <c:pt idx="1080">
                  <c:v>0.75443067084858129</c:v>
                </c:pt>
                <c:pt idx="1081">
                  <c:v>0.75611257744040306</c:v>
                </c:pt>
                <c:pt idx="1082">
                  <c:v>0.75611257744040306</c:v>
                </c:pt>
                <c:pt idx="1083">
                  <c:v>0.75683502863588226</c:v>
                </c:pt>
                <c:pt idx="1084">
                  <c:v>0.75683502863588226</c:v>
                </c:pt>
                <c:pt idx="1085">
                  <c:v>0.75824438731096744</c:v>
                </c:pt>
                <c:pt idx="1086">
                  <c:v>0.75824438731096744</c:v>
                </c:pt>
                <c:pt idx="1087">
                  <c:v>0.75915442222273533</c:v>
                </c:pt>
                <c:pt idx="1088">
                  <c:v>0.75915442222273533</c:v>
                </c:pt>
                <c:pt idx="1089">
                  <c:v>0.76028355551190241</c:v>
                </c:pt>
                <c:pt idx="1090">
                  <c:v>0.76028355551190241</c:v>
                </c:pt>
                <c:pt idx="1091">
                  <c:v>0.7615684313236174</c:v>
                </c:pt>
                <c:pt idx="1092">
                  <c:v>0.7615684313236174</c:v>
                </c:pt>
                <c:pt idx="1093">
                  <c:v>0.76297778999870258</c:v>
                </c:pt>
                <c:pt idx="1094">
                  <c:v>0.76297778999870258</c:v>
                </c:pt>
                <c:pt idx="1095">
                  <c:v>0.76385615493242787</c:v>
                </c:pt>
                <c:pt idx="1096">
                  <c:v>0.76385615493242787</c:v>
                </c:pt>
                <c:pt idx="1097">
                  <c:v>0.7651829914915228</c:v>
                </c:pt>
                <c:pt idx="1098">
                  <c:v>0.7651829914915228</c:v>
                </c:pt>
                <c:pt idx="1099">
                  <c:v>0.7660613564252482</c:v>
                </c:pt>
                <c:pt idx="1100">
                  <c:v>0.7660613564252482</c:v>
                </c:pt>
                <c:pt idx="1101">
                  <c:v>0.76747071510033338</c:v>
                </c:pt>
                <c:pt idx="1102">
                  <c:v>0.76747071510033338</c:v>
                </c:pt>
                <c:pt idx="1103">
                  <c:v>0.7695460525785105</c:v>
                </c:pt>
                <c:pt idx="1104">
                  <c:v>0.7695460525785105</c:v>
                </c:pt>
                <c:pt idx="1105">
                  <c:v>0.77072948418298093</c:v>
                </c:pt>
                <c:pt idx="1106">
                  <c:v>0.77072948418298093</c:v>
                </c:pt>
                <c:pt idx="1107">
                  <c:v>0.77214622139985589</c:v>
                </c:pt>
                <c:pt idx="1108">
                  <c:v>0.77214622139985589</c:v>
                </c:pt>
                <c:pt idx="1109">
                  <c:v>0.77382812799167766</c:v>
                </c:pt>
                <c:pt idx="1110">
                  <c:v>0.77382812799167766</c:v>
                </c:pt>
                <c:pt idx="1111">
                  <c:v>0.77588915016618887</c:v>
                </c:pt>
                <c:pt idx="1112">
                  <c:v>0.77588915016618887</c:v>
                </c:pt>
                <c:pt idx="1113">
                  <c:v>0.77729850884127405</c:v>
                </c:pt>
                <c:pt idx="1114">
                  <c:v>0.77729850884127405</c:v>
                </c:pt>
                <c:pt idx="1115">
                  <c:v>0.77806001145269177</c:v>
                </c:pt>
                <c:pt idx="1116">
                  <c:v>0.77806001145269177</c:v>
                </c:pt>
                <c:pt idx="1117">
                  <c:v>0.77893837638641716</c:v>
                </c:pt>
                <c:pt idx="1118">
                  <c:v>0.77893837638641716</c:v>
                </c:pt>
                <c:pt idx="1119">
                  <c:v>0.78042299034079465</c:v>
                </c:pt>
                <c:pt idx="1120">
                  <c:v>0.78042299034079465</c:v>
                </c:pt>
                <c:pt idx="1121">
                  <c:v>0.78249832781897177</c:v>
                </c:pt>
                <c:pt idx="1122">
                  <c:v>0.78249832781897177</c:v>
                </c:pt>
                <c:pt idx="1123">
                  <c:v>0.784573665297149</c:v>
                </c:pt>
                <c:pt idx="1124">
                  <c:v>0.784573665297149</c:v>
                </c:pt>
                <c:pt idx="1125">
                  <c:v>0.78544965361979402</c:v>
                </c:pt>
                <c:pt idx="1126">
                  <c:v>0.78544965361979402</c:v>
                </c:pt>
                <c:pt idx="1127">
                  <c:v>0.7868590122948792</c:v>
                </c:pt>
                <c:pt idx="1128">
                  <c:v>0.7868590122948792</c:v>
                </c:pt>
                <c:pt idx="1129">
                  <c:v>0.78804244389934952</c:v>
                </c:pt>
                <c:pt idx="1130">
                  <c:v>0.78804244389934952</c:v>
                </c:pt>
                <c:pt idx="1131">
                  <c:v>0.78895247881111752</c:v>
                </c:pt>
                <c:pt idx="1132">
                  <c:v>0.78895247881111752</c:v>
                </c:pt>
                <c:pt idx="1133">
                  <c:v>0.79036921602799259</c:v>
                </c:pt>
                <c:pt idx="1134">
                  <c:v>0.79036921602799259</c:v>
                </c:pt>
                <c:pt idx="1135">
                  <c:v>0.79127925093976048</c:v>
                </c:pt>
                <c:pt idx="1136">
                  <c:v>0.79127925093976048</c:v>
                </c:pt>
                <c:pt idx="1137">
                  <c:v>0.79251942849581447</c:v>
                </c:pt>
                <c:pt idx="1138">
                  <c:v>0.79251942849581447</c:v>
                </c:pt>
                <c:pt idx="1139">
                  <c:v>0.79400404245019196</c:v>
                </c:pt>
                <c:pt idx="1140">
                  <c:v>0.79400404245019196</c:v>
                </c:pt>
                <c:pt idx="1141">
                  <c:v>0.79481985368492469</c:v>
                </c:pt>
                <c:pt idx="1142">
                  <c:v>0.79481985368492469</c:v>
                </c:pt>
                <c:pt idx="1143">
                  <c:v>0.79569821861864998</c:v>
                </c:pt>
                <c:pt idx="1144">
                  <c:v>0.79569821861864998</c:v>
                </c:pt>
                <c:pt idx="1145">
                  <c:v>0.79660825353041798</c:v>
                </c:pt>
                <c:pt idx="1146">
                  <c:v>0.79660825353041798</c:v>
                </c:pt>
                <c:pt idx="1147">
                  <c:v>0.79779168513488841</c:v>
                </c:pt>
                <c:pt idx="1148">
                  <c:v>0.79779168513488841</c:v>
                </c:pt>
                <c:pt idx="1149">
                  <c:v>0.79892081842405549</c:v>
                </c:pt>
                <c:pt idx="1150">
                  <c:v>0.79892081842405549</c:v>
                </c:pt>
                <c:pt idx="1151">
                  <c:v>0.80040543237843309</c:v>
                </c:pt>
                <c:pt idx="1152">
                  <c:v>0.80040543237843309</c:v>
                </c:pt>
                <c:pt idx="1153">
                  <c:v>0.80158886398290341</c:v>
                </c:pt>
                <c:pt idx="1154">
                  <c:v>0.80158886398290341</c:v>
                </c:pt>
                <c:pt idx="1155">
                  <c:v>0.80366420146108064</c:v>
                </c:pt>
                <c:pt idx="1156">
                  <c:v>0.80366420146108064</c:v>
                </c:pt>
                <c:pt idx="1157">
                  <c:v>0.80534610805290241</c:v>
                </c:pt>
                <c:pt idx="1158">
                  <c:v>0.80534610805290241</c:v>
                </c:pt>
                <c:pt idx="1159">
                  <c:v>0.80647524134206949</c:v>
                </c:pt>
                <c:pt idx="1160">
                  <c:v>0.80647524134206949</c:v>
                </c:pt>
                <c:pt idx="1161">
                  <c:v>0.80815714793389115</c:v>
                </c:pt>
                <c:pt idx="1162">
                  <c:v>0.80815714793389115</c:v>
                </c:pt>
                <c:pt idx="1163">
                  <c:v>0.80906718284565915</c:v>
                </c:pt>
                <c:pt idx="1164">
                  <c:v>0.80906718284565915</c:v>
                </c:pt>
                <c:pt idx="1165">
                  <c:v>0.81047654152074433</c:v>
                </c:pt>
                <c:pt idx="1166">
                  <c:v>0.81047654152074433</c:v>
                </c:pt>
                <c:pt idx="1167">
                  <c:v>0.81157152692412782</c:v>
                </c:pt>
                <c:pt idx="1168">
                  <c:v>0.81157152692412782</c:v>
                </c:pt>
                <c:pt idx="1169">
                  <c:v>0.8124498918578531</c:v>
                </c:pt>
                <c:pt idx="1170">
                  <c:v>0.8124498918578531</c:v>
                </c:pt>
                <c:pt idx="1171">
                  <c:v>0.81311488694522571</c:v>
                </c:pt>
                <c:pt idx="1172">
                  <c:v>0.81311488694522571</c:v>
                </c:pt>
                <c:pt idx="1173">
                  <c:v>0.81439976275694059</c:v>
                </c:pt>
                <c:pt idx="1174">
                  <c:v>0.81439976275694059</c:v>
                </c:pt>
                <c:pt idx="1175">
                  <c:v>0.81658757062950971</c:v>
                </c:pt>
                <c:pt idx="1176">
                  <c:v>0.81658757062950971</c:v>
                </c:pt>
                <c:pt idx="1177">
                  <c:v>0.81811412898354763</c:v>
                </c:pt>
                <c:pt idx="1178">
                  <c:v>0.81811412898354763</c:v>
                </c:pt>
                <c:pt idx="1179">
                  <c:v>0.81935430653960151</c:v>
                </c:pt>
                <c:pt idx="1180">
                  <c:v>0.81935430653960151</c:v>
                </c:pt>
                <c:pt idx="1181">
                  <c:v>0.82007675773508093</c:v>
                </c:pt>
                <c:pt idx="1182">
                  <c:v>0.82007675773508093</c:v>
                </c:pt>
                <c:pt idx="1183">
                  <c:v>0.821486116410166</c:v>
                </c:pt>
                <c:pt idx="1184">
                  <c:v>0.821486116410166</c:v>
                </c:pt>
                <c:pt idx="1185">
                  <c:v>0.82396091109484004</c:v>
                </c:pt>
                <c:pt idx="1186">
                  <c:v>0.82396091109484004</c:v>
                </c:pt>
                <c:pt idx="1187">
                  <c:v>0.82614871896740916</c:v>
                </c:pt>
                <c:pt idx="1188">
                  <c:v>0.82614871896740916</c:v>
                </c:pt>
                <c:pt idx="1189">
                  <c:v>0.82756545618428423</c:v>
                </c:pt>
                <c:pt idx="1190">
                  <c:v>0.82756545618428423</c:v>
                </c:pt>
                <c:pt idx="1191">
                  <c:v>0.82844382111800952</c:v>
                </c:pt>
                <c:pt idx="1192">
                  <c:v>0.82844382111800952</c:v>
                </c:pt>
                <c:pt idx="1193">
                  <c:v>0.82986055833488448</c:v>
                </c:pt>
                <c:pt idx="1194">
                  <c:v>0.82986055833488448</c:v>
                </c:pt>
                <c:pt idx="1195">
                  <c:v>0.83126991700996966</c:v>
                </c:pt>
                <c:pt idx="1196">
                  <c:v>0.83126991700996966</c:v>
                </c:pt>
                <c:pt idx="1197">
                  <c:v>0.83217995192173766</c:v>
                </c:pt>
                <c:pt idx="1198">
                  <c:v>0.83217995192173766</c:v>
                </c:pt>
                <c:pt idx="1199">
                  <c:v>0.83358931059682284</c:v>
                </c:pt>
                <c:pt idx="1200">
                  <c:v>0.83358931059682284</c:v>
                </c:pt>
                <c:pt idx="1201">
                  <c:v>0.83446529891946786</c:v>
                </c:pt>
                <c:pt idx="1202">
                  <c:v>0.83446529891946786</c:v>
                </c:pt>
                <c:pt idx="1203">
                  <c:v>0.83528111015420059</c:v>
                </c:pt>
                <c:pt idx="1204">
                  <c:v>0.83528111015420059</c:v>
                </c:pt>
                <c:pt idx="1205">
                  <c:v>0.83696301674602225</c:v>
                </c:pt>
                <c:pt idx="1206">
                  <c:v>0.83696301674602225</c:v>
                </c:pt>
                <c:pt idx="1207">
                  <c:v>0.83820319430207624</c:v>
                </c:pt>
                <c:pt idx="1208">
                  <c:v>0.83820319430207624</c:v>
                </c:pt>
                <c:pt idx="1209">
                  <c:v>0.84129303320541426</c:v>
                </c:pt>
                <c:pt idx="1210">
                  <c:v>0.84129303320541426</c:v>
                </c:pt>
                <c:pt idx="1211">
                  <c:v>0.84277764715979175</c:v>
                </c:pt>
                <c:pt idx="1212">
                  <c:v>0.84277764715979175</c:v>
                </c:pt>
                <c:pt idx="1213">
                  <c:v>0.84485298463796898</c:v>
                </c:pt>
                <c:pt idx="1214">
                  <c:v>0.84485298463796898</c:v>
                </c:pt>
                <c:pt idx="1215">
                  <c:v>0.84566879587270172</c:v>
                </c:pt>
                <c:pt idx="1216">
                  <c:v>0.84566879587270172</c:v>
                </c:pt>
                <c:pt idx="1217">
                  <c:v>0.84639124706818103</c:v>
                </c:pt>
                <c:pt idx="1218">
                  <c:v>0.84639124706818103</c:v>
                </c:pt>
                <c:pt idx="1219">
                  <c:v>0.84705624215555364</c:v>
                </c:pt>
                <c:pt idx="1220">
                  <c:v>0.84705624215555364</c:v>
                </c:pt>
                <c:pt idx="1221">
                  <c:v>0.84913157963373087</c:v>
                </c:pt>
                <c:pt idx="1222">
                  <c:v>0.84913157963373087</c:v>
                </c:pt>
                <c:pt idx="1223">
                  <c:v>0.84985403082921018</c:v>
                </c:pt>
                <c:pt idx="1224">
                  <c:v>0.84985403082921018</c:v>
                </c:pt>
                <c:pt idx="1225">
                  <c:v>0.85160228993142495</c:v>
                </c:pt>
                <c:pt idx="1226">
                  <c:v>0.85160228993142495</c:v>
                </c:pt>
                <c:pt idx="1227">
                  <c:v>0.85366331210593616</c:v>
                </c:pt>
                <c:pt idx="1228">
                  <c:v>0.85366331210593616</c:v>
                </c:pt>
                <c:pt idx="1229">
                  <c:v>0.85572433428044725</c:v>
                </c:pt>
                <c:pt idx="1230">
                  <c:v>0.85572433428044725</c:v>
                </c:pt>
                <c:pt idx="1231">
                  <c:v>0.85819912896512118</c:v>
                </c:pt>
                <c:pt idx="1232">
                  <c:v>0.85819912896512118</c:v>
                </c:pt>
                <c:pt idx="1233">
                  <c:v>0.85886412405249379</c:v>
                </c:pt>
                <c:pt idx="1234">
                  <c:v>0.85886412405249379</c:v>
                </c:pt>
                <c:pt idx="1235">
                  <c:v>0.85958657524797311</c:v>
                </c:pt>
                <c:pt idx="1236">
                  <c:v>0.85958657524797311</c:v>
                </c:pt>
                <c:pt idx="1237">
                  <c:v>0.86039379359158707</c:v>
                </c:pt>
                <c:pt idx="1238">
                  <c:v>0.86039379359158707</c:v>
                </c:pt>
                <c:pt idx="1239">
                  <c:v>0.86246913106976431</c:v>
                </c:pt>
                <c:pt idx="1240">
                  <c:v>0.86246913106976431</c:v>
                </c:pt>
                <c:pt idx="1241">
                  <c:v>0.8637093086258183</c:v>
                </c:pt>
                <c:pt idx="1242">
                  <c:v>0.8637093086258183</c:v>
                </c:pt>
                <c:pt idx="1243">
                  <c:v>0.86618410331049234</c:v>
                </c:pt>
                <c:pt idx="1244">
                  <c:v>0.86618410331049234</c:v>
                </c:pt>
                <c:pt idx="1245">
                  <c:v>0.86709413822226034</c:v>
                </c:pt>
                <c:pt idx="1246">
                  <c:v>0.86709413822226034</c:v>
                </c:pt>
                <c:pt idx="1247">
                  <c:v>0.86877604481408199</c:v>
                </c:pt>
                <c:pt idx="1248">
                  <c:v>0.86877604481408199</c:v>
                </c:pt>
                <c:pt idx="1249">
                  <c:v>0.87026065876845959</c:v>
                </c:pt>
                <c:pt idx="1250">
                  <c:v>0.87026065876845959</c:v>
                </c:pt>
                <c:pt idx="1251">
                  <c:v>0.87167739598533456</c:v>
                </c:pt>
                <c:pt idx="1252">
                  <c:v>0.87167739598533456</c:v>
                </c:pt>
                <c:pt idx="1253">
                  <c:v>0.87308675466041963</c:v>
                </c:pt>
                <c:pt idx="1254">
                  <c:v>0.87308675466041963</c:v>
                </c:pt>
                <c:pt idx="1255">
                  <c:v>0.87457136861479723</c:v>
                </c:pt>
                <c:pt idx="1256">
                  <c:v>0.87457136861479723</c:v>
                </c:pt>
                <c:pt idx="1257">
                  <c:v>0.87529381981027654</c:v>
                </c:pt>
                <c:pt idx="1258">
                  <c:v>0.87529381981027654</c:v>
                </c:pt>
                <c:pt idx="1259">
                  <c:v>0.87681941374618377</c:v>
                </c:pt>
                <c:pt idx="1260">
                  <c:v>0.87681941374618377</c:v>
                </c:pt>
                <c:pt idx="1261">
                  <c:v>0.87830402770056126</c:v>
                </c:pt>
                <c:pt idx="1262">
                  <c:v>0.87830402770056126</c:v>
                </c:pt>
                <c:pt idx="1263">
                  <c:v>0.87971338637564644</c:v>
                </c:pt>
                <c:pt idx="1264">
                  <c:v>0.87971338637564644</c:v>
                </c:pt>
                <c:pt idx="1265">
                  <c:v>0.88037838146301894</c:v>
                </c:pt>
                <c:pt idx="1266">
                  <c:v>0.88037838146301894</c:v>
                </c:pt>
                <c:pt idx="1267">
                  <c:v>0.88110083265849837</c:v>
                </c:pt>
                <c:pt idx="1268">
                  <c:v>0.88110083265849837</c:v>
                </c:pt>
                <c:pt idx="1269">
                  <c:v>0.88197919759222365</c:v>
                </c:pt>
                <c:pt idx="1270">
                  <c:v>0.88197919759222365</c:v>
                </c:pt>
                <c:pt idx="1271">
                  <c:v>0.88445399227689758</c:v>
                </c:pt>
                <c:pt idx="1272">
                  <c:v>0.88445399227689758</c:v>
                </c:pt>
                <c:pt idx="1273">
                  <c:v>0.88586335095198276</c:v>
                </c:pt>
                <c:pt idx="1274">
                  <c:v>0.88586335095198276</c:v>
                </c:pt>
                <c:pt idx="1275">
                  <c:v>0.88727270962706783</c:v>
                </c:pt>
                <c:pt idx="1276">
                  <c:v>0.88727270962706783</c:v>
                </c:pt>
                <c:pt idx="1277">
                  <c:v>0.88815107456079312</c:v>
                </c:pt>
                <c:pt idx="1278">
                  <c:v>0.88815107456079312</c:v>
                </c:pt>
                <c:pt idx="1279">
                  <c:v>0.89021209673530433</c:v>
                </c:pt>
                <c:pt idx="1280">
                  <c:v>0.89021209673530433</c:v>
                </c:pt>
                <c:pt idx="1281">
                  <c:v>0.89268689141997826</c:v>
                </c:pt>
                <c:pt idx="1282">
                  <c:v>0.89268689141997826</c:v>
                </c:pt>
                <c:pt idx="1283">
                  <c:v>0.89340934261545757</c:v>
                </c:pt>
                <c:pt idx="1284">
                  <c:v>0.89340934261545757</c:v>
                </c:pt>
                <c:pt idx="1285">
                  <c:v>0.89482607983233264</c:v>
                </c:pt>
                <c:pt idx="1286">
                  <c:v>0.89482607983233264</c:v>
                </c:pt>
                <c:pt idx="1287">
                  <c:v>0.89564189106706527</c:v>
                </c:pt>
                <c:pt idx="1288">
                  <c:v>0.89564189106706527</c:v>
                </c:pt>
                <c:pt idx="1289">
                  <c:v>0.89705862828394034</c:v>
                </c:pt>
                <c:pt idx="1290">
                  <c:v>0.89705862828394034</c:v>
                </c:pt>
                <c:pt idx="1291">
                  <c:v>0.89845158039430073</c:v>
                </c:pt>
                <c:pt idx="1292">
                  <c:v>0.89845158039430073</c:v>
                </c:pt>
                <c:pt idx="1293">
                  <c:v>0.89917403158978015</c:v>
                </c:pt>
                <c:pt idx="1294">
                  <c:v>0.89917403158978015</c:v>
                </c:pt>
                <c:pt idx="1295">
                  <c:v>0.90005239652350544</c:v>
                </c:pt>
                <c:pt idx="1296">
                  <c:v>0.90005239652350544</c:v>
                </c:pt>
                <c:pt idx="1297">
                  <c:v>0.90252719120817937</c:v>
                </c:pt>
                <c:pt idx="1298">
                  <c:v>0.90252719120817937</c:v>
                </c:pt>
                <c:pt idx="1299">
                  <c:v>0.90394392842505444</c:v>
                </c:pt>
                <c:pt idx="1300">
                  <c:v>0.90394392842505444</c:v>
                </c:pt>
                <c:pt idx="1301">
                  <c:v>0.90522880423676921</c:v>
                </c:pt>
                <c:pt idx="1302">
                  <c:v>0.90522880423676921</c:v>
                </c:pt>
                <c:pt idx="1303">
                  <c:v>0.90761773243921628</c:v>
                </c:pt>
                <c:pt idx="1304">
                  <c:v>0.90761773243921628</c:v>
                </c:pt>
                <c:pt idx="1305">
                  <c:v>0.90914332637512341</c:v>
                </c:pt>
                <c:pt idx="1306">
                  <c:v>0.90914332637512341</c:v>
                </c:pt>
                <c:pt idx="1307">
                  <c:v>0.91161812105979745</c:v>
                </c:pt>
                <c:pt idx="1308">
                  <c:v>0.91161812105979745</c:v>
                </c:pt>
                <c:pt idx="1309">
                  <c:v>0.91400704926224441</c:v>
                </c:pt>
                <c:pt idx="1310">
                  <c:v>0.91400704926224441</c:v>
                </c:pt>
                <c:pt idx="1311">
                  <c:v>0.91490741035373579</c:v>
                </c:pt>
                <c:pt idx="1312">
                  <c:v>0.91490741035373579</c:v>
                </c:pt>
                <c:pt idx="1313">
                  <c:v>0.91658931694555745</c:v>
                </c:pt>
                <c:pt idx="1314">
                  <c:v>0.91658931694555745</c:v>
                </c:pt>
                <c:pt idx="1315">
                  <c:v>0.91866465442373468</c:v>
                </c:pt>
                <c:pt idx="1316">
                  <c:v>0.91866465442373468</c:v>
                </c:pt>
                <c:pt idx="1317">
                  <c:v>0.919387105619214</c:v>
                </c:pt>
                <c:pt idx="1318">
                  <c:v>0.919387105619214</c:v>
                </c:pt>
                <c:pt idx="1319">
                  <c:v>0.92010955681469342</c:v>
                </c:pt>
                <c:pt idx="1320">
                  <c:v>0.92010955681469342</c:v>
                </c:pt>
                <c:pt idx="1321">
                  <c:v>0.9212386901038605</c:v>
                </c:pt>
                <c:pt idx="1322">
                  <c:v>0.9212386901038605</c:v>
                </c:pt>
                <c:pt idx="1323">
                  <c:v>0.92233367550724399</c:v>
                </c:pt>
                <c:pt idx="1324">
                  <c:v>0.92233367550724399</c:v>
                </c:pt>
                <c:pt idx="1325">
                  <c:v>0.92374303418232917</c:v>
                </c:pt>
                <c:pt idx="1326">
                  <c:v>0.92374303418232917</c:v>
                </c:pt>
                <c:pt idx="1327">
                  <c:v>0.92542494077415083</c:v>
                </c:pt>
                <c:pt idx="1328">
                  <c:v>0.92542494077415083</c:v>
                </c:pt>
                <c:pt idx="1329">
                  <c:v>0.92750027825232806</c:v>
                </c:pt>
                <c:pt idx="1330">
                  <c:v>0.92750027825232806</c:v>
                </c:pt>
                <c:pt idx="1331">
                  <c:v>0.92902587218823518</c:v>
                </c:pt>
                <c:pt idx="1332">
                  <c:v>0.92902587218823518</c:v>
                </c:pt>
                <c:pt idx="1333">
                  <c:v>0.93110120966641252</c:v>
                </c:pt>
                <c:pt idx="1334">
                  <c:v>0.93110120966641252</c:v>
                </c:pt>
                <c:pt idx="1335">
                  <c:v>0.93182366086189183</c:v>
                </c:pt>
                <c:pt idx="1336">
                  <c:v>0.93182366086189183</c:v>
                </c:pt>
                <c:pt idx="1337">
                  <c:v>0.93330827481626932</c:v>
                </c:pt>
                <c:pt idx="1338">
                  <c:v>0.93330827481626932</c:v>
                </c:pt>
                <c:pt idx="1339">
                  <c:v>0.93397326990364193</c:v>
                </c:pt>
                <c:pt idx="1340">
                  <c:v>0.93397326990364193</c:v>
                </c:pt>
                <c:pt idx="1341">
                  <c:v>0.93565517649546359</c:v>
                </c:pt>
                <c:pt idx="1342">
                  <c:v>0.93565517649546359</c:v>
                </c:pt>
                <c:pt idx="1343">
                  <c:v>0.93689535405151758</c:v>
                </c:pt>
                <c:pt idx="1344">
                  <c:v>0.93689535405151758</c:v>
                </c:pt>
                <c:pt idx="1345">
                  <c:v>0.93937014873619151</c:v>
                </c:pt>
                <c:pt idx="1346">
                  <c:v>0.93937014873619151</c:v>
                </c:pt>
                <c:pt idx="1347">
                  <c:v>0.94009259993167094</c:v>
                </c:pt>
                <c:pt idx="1348">
                  <c:v>0.94009259993167094</c:v>
                </c:pt>
                <c:pt idx="1349">
                  <c:v>0.94150195860675601</c:v>
                </c:pt>
                <c:pt idx="1350">
                  <c:v>0.94150195860675601</c:v>
                </c:pt>
                <c:pt idx="1351">
                  <c:v>0.94231776984148874</c:v>
                </c:pt>
                <c:pt idx="1352">
                  <c:v>0.94231776984148874</c:v>
                </c:pt>
                <c:pt idx="1353">
                  <c:v>0.94360264565320362</c:v>
                </c:pt>
                <c:pt idx="1354">
                  <c:v>0.94360264565320362</c:v>
                </c:pt>
                <c:pt idx="1355">
                  <c:v>0.94579045352577273</c:v>
                </c:pt>
                <c:pt idx="1356">
                  <c:v>0.94579045352577273</c:v>
                </c:pt>
                <c:pt idx="1357">
                  <c:v>0.94727506748015033</c:v>
                </c:pt>
                <c:pt idx="1358">
                  <c:v>0.94727506748015033</c:v>
                </c:pt>
                <c:pt idx="1359">
                  <c:v>0.94815105580279535</c:v>
                </c:pt>
                <c:pt idx="1360">
                  <c:v>0.94815105580279535</c:v>
                </c:pt>
                <c:pt idx="1361">
                  <c:v>0.94887350699827477</c:v>
                </c:pt>
                <c:pt idx="1362">
                  <c:v>0.94887350699827477</c:v>
                </c:pt>
                <c:pt idx="1363">
                  <c:v>0.94978354191004277</c:v>
                </c:pt>
                <c:pt idx="1364">
                  <c:v>0.94978354191004277</c:v>
                </c:pt>
                <c:pt idx="1365">
                  <c:v>0.95119290058512795</c:v>
                </c:pt>
                <c:pt idx="1366">
                  <c:v>0.95119290058512795</c:v>
                </c:pt>
                <c:pt idx="1367">
                  <c:v>0.95287480717694961</c:v>
                </c:pt>
                <c:pt idx="1368">
                  <c:v>0.95287480717694961</c:v>
                </c:pt>
                <c:pt idx="1369">
                  <c:v>0.95534960186162354</c:v>
                </c:pt>
                <c:pt idx="1370">
                  <c:v>0.95534960186162354</c:v>
                </c:pt>
                <c:pt idx="1371">
                  <c:v>0.95607205305710286</c:v>
                </c:pt>
                <c:pt idx="1372">
                  <c:v>0.95607205305710286</c:v>
                </c:pt>
                <c:pt idx="1373">
                  <c:v>0.95748879027397793</c:v>
                </c:pt>
                <c:pt idx="1374">
                  <c:v>0.95748879027397793</c:v>
                </c:pt>
                <c:pt idx="1375">
                  <c:v>0.95917069686579959</c:v>
                </c:pt>
                <c:pt idx="1376">
                  <c:v>0.95917069686579959</c:v>
                </c:pt>
                <c:pt idx="1377">
                  <c:v>0.96058005554088477</c:v>
                </c:pt>
                <c:pt idx="1378">
                  <c:v>0.96058005554088477</c:v>
                </c:pt>
                <c:pt idx="1379">
                  <c:v>0.96130250673636408</c:v>
                </c:pt>
                <c:pt idx="1380">
                  <c:v>0.96130250673636408</c:v>
                </c:pt>
                <c:pt idx="1381">
                  <c:v>0.96254268429241807</c:v>
                </c:pt>
                <c:pt idx="1382">
                  <c:v>0.96254268429241807</c:v>
                </c:pt>
                <c:pt idx="1383">
                  <c:v>0.96326513548789738</c:v>
                </c:pt>
                <c:pt idx="1384">
                  <c:v>0.96326513548789738</c:v>
                </c:pt>
                <c:pt idx="1385">
                  <c:v>0.96565406369034434</c:v>
                </c:pt>
                <c:pt idx="1386">
                  <c:v>0.96565406369034434</c:v>
                </c:pt>
                <c:pt idx="1387">
                  <c:v>0.96646987492507708</c:v>
                </c:pt>
                <c:pt idx="1388">
                  <c:v>0.96646987492507708</c:v>
                </c:pt>
                <c:pt idx="1389">
                  <c:v>0.9676533065295474</c:v>
                </c:pt>
                <c:pt idx="1390">
                  <c:v>0.9676533065295474</c:v>
                </c:pt>
                <c:pt idx="1391">
                  <c:v>0.97012810121422144</c:v>
                </c:pt>
                <c:pt idx="1392">
                  <c:v>0.97012810121422144</c:v>
                </c:pt>
                <c:pt idx="1393">
                  <c:v>0.97231590908679066</c:v>
                </c:pt>
                <c:pt idx="1394">
                  <c:v>0.97231590908679066</c:v>
                </c:pt>
                <c:pt idx="1395">
                  <c:v>0.97380052304116815</c:v>
                </c:pt>
                <c:pt idx="1396">
                  <c:v>0.97380052304116815</c:v>
                </c:pt>
                <c:pt idx="1397">
                  <c:v>0.97528513699554564</c:v>
                </c:pt>
                <c:pt idx="1398">
                  <c:v>0.97528513699554564</c:v>
                </c:pt>
                <c:pt idx="1399">
                  <c:v>0.97657001280726052</c:v>
                </c:pt>
                <c:pt idx="1400">
                  <c:v>0.97657001280726052</c:v>
                </c:pt>
                <c:pt idx="1401">
                  <c:v>0.97825191939908218</c:v>
                </c:pt>
                <c:pt idx="1402">
                  <c:v>0.97825191939908218</c:v>
                </c:pt>
                <c:pt idx="1403">
                  <c:v>0.97916195431085029</c:v>
                </c:pt>
                <c:pt idx="1404">
                  <c:v>0.97916195431085029</c:v>
                </c:pt>
                <c:pt idx="1405">
                  <c:v>0.98163674899552422</c:v>
                </c:pt>
                <c:pt idx="1406">
                  <c:v>0.98163674899552422</c:v>
                </c:pt>
                <c:pt idx="1407">
                  <c:v>0.98287692655157821</c:v>
                </c:pt>
                <c:pt idx="1408">
                  <c:v>0.98287692655157821</c:v>
                </c:pt>
                <c:pt idx="1409">
                  <c:v>0.98526585475402517</c:v>
                </c:pt>
                <c:pt idx="1410">
                  <c:v>0.98526585475402517</c:v>
                </c:pt>
                <c:pt idx="1411">
                  <c:v>0.98655073056574005</c:v>
                </c:pt>
                <c:pt idx="1412">
                  <c:v>0.98655073056574005</c:v>
                </c:pt>
                <c:pt idx="1413">
                  <c:v>0.98862606804391728</c:v>
                </c:pt>
                <c:pt idx="1414">
                  <c:v>0.98862606804391728</c:v>
                </c:pt>
                <c:pt idx="1415">
                  <c:v>0.99101499624636435</c:v>
                </c:pt>
                <c:pt idx="1416">
                  <c:v>0.99101499624636435</c:v>
                </c:pt>
                <c:pt idx="1417">
                  <c:v>0.99309033372454159</c:v>
                </c:pt>
                <c:pt idx="1418">
                  <c:v>0.99309033372454159</c:v>
                </c:pt>
                <c:pt idx="1419">
                  <c:v>0.99547926192698855</c:v>
                </c:pt>
                <c:pt idx="1420">
                  <c:v>0.99547926192698855</c:v>
                </c:pt>
                <c:pt idx="1421">
                  <c:v>0.99688862060207362</c:v>
                </c:pt>
                <c:pt idx="1422">
                  <c:v>0.99688862060207362</c:v>
                </c:pt>
                <c:pt idx="1423">
                  <c:v>0.99761107179755304</c:v>
                </c:pt>
                <c:pt idx="1424">
                  <c:v>0.99761107179755304</c:v>
                </c:pt>
                <c:pt idx="1425">
                  <c:v>1</c:v>
                </c:pt>
              </c:numCache>
            </c:numRef>
          </c:yVal>
          <c:smooth val="0"/>
          <c:extLst xmlns:c16r2="http://schemas.microsoft.com/office/drawing/2015/06/chart">
            <c:ext xmlns:c16="http://schemas.microsoft.com/office/drawing/2014/chart" uri="{C3380CC4-5D6E-409C-BE32-E72D297353CC}">
              <c16:uniqueId val="{00000000-6AE8-47B0-9EEB-62D1FA4FFA5F}"/>
            </c:ext>
          </c:extLst>
        </c:ser>
        <c:ser>
          <c:idx val="1"/>
          <c:order val="1"/>
          <c:tx>
            <c:v>soc</c:v>
          </c:tx>
          <c:spPr>
            <a:ln w="9525">
              <a:solidFill>
                <a:schemeClr val="accent5">
                  <a:lumMod val="50000"/>
                </a:schemeClr>
              </a:solidFill>
            </a:ln>
          </c:spPr>
          <c:marker>
            <c:symbol val="none"/>
          </c:marker>
          <c:dLbls>
            <c:dLbl>
              <c:idx val="0"/>
              <c:layout>
                <c:manualLayout>
                  <c:x val="-0.12314238765992611"/>
                  <c:y val="-1.5200306170968653E-2"/>
                </c:manualLayout>
              </c:layout>
              <c:tx>
                <c:rich>
                  <a:bodyPr wrap="square" lIns="38100" tIns="19050" rIns="38100" bIns="19050" anchor="ctr">
                    <a:spAutoFit/>
                  </a:bodyPr>
                  <a:lstStyle/>
                  <a:p>
                    <a:pPr>
                      <a:defRPr sz="800"/>
                    </a:pPr>
                    <a:fld id="{58ED0388-A288-450F-B670-0B7A78FC240B}" type="CELLRANGE">
                      <a:rPr lang="en-US" baseline="0"/>
                      <a:pPr>
                        <a:defRPr sz="800"/>
                      </a:pPr>
                      <a:t>[CELLRANGE]</a:t>
                    </a:fld>
                    <a:r>
                      <a:rPr lang="en-US" baseline="0"/>
                      <a:t>; </a:t>
                    </a:r>
                    <a:fld id="{B74BA568-ED36-4279-9F34-19A4C9DBB389}" type="YVALUE">
                      <a:rPr lang="en-US" baseline="0"/>
                      <a:pPr>
                        <a:defRPr sz="800"/>
                      </a:pPr>
                      <a:t>[Y-VÄRDE]</a:t>
                    </a:fld>
                    <a:endParaRPr lang="en-US" baseline="0"/>
                  </a:p>
                </c:rich>
              </c:tx>
              <c:numFmt formatCode="0%" sourceLinked="0"/>
              <c:spPr>
                <a:noFill/>
                <a:ln>
                  <a:noFill/>
                </a:ln>
                <a:effectLst/>
              </c:sp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6AE8-47B0-9EEB-62D1FA4FFA5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E8-47B0-9EEB-62D1FA4FFA5F}"/>
                </c:ext>
              </c:extLst>
            </c:dLbl>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xVal>
            <c:numRef>
              <c:f>Histogram!$U$10:$U$11</c:f>
              <c:numCache>
                <c:formatCode>General</c:formatCode>
                <c:ptCount val="2"/>
                <c:pt idx="0">
                  <c:v>3930</c:v>
                </c:pt>
                <c:pt idx="1">
                  <c:v>0</c:v>
                </c:pt>
              </c:numCache>
            </c:numRef>
          </c:xVal>
          <c:yVal>
            <c:numRef>
              <c:f>Histogram!$T$10:$T$11</c:f>
              <c:numCache>
                <c:formatCode>General</c:formatCode>
                <c:ptCount val="2"/>
                <c:pt idx="0">
                  <c:v>0.159</c:v>
                </c:pt>
                <c:pt idx="1">
                  <c:v>0.159</c:v>
                </c:pt>
              </c:numCache>
            </c:numRef>
          </c:yVal>
          <c:smooth val="0"/>
          <c:extLst xmlns:c16r2="http://schemas.microsoft.com/office/drawing/2015/06/chart">
            <c:ext xmlns:c15="http://schemas.microsoft.com/office/drawing/2012/chart" uri="{02D57815-91ED-43cb-92C2-25804820EDAC}">
              <c15:datalabelsRange>
                <c15:f>Histogram!$U$21</c15:f>
                <c15:dlblRangeCache>
                  <c:ptCount val="1"/>
                  <c:pt idx="0">
                    <c:v>Soc, 3930</c:v>
                  </c:pt>
                </c15:dlblRangeCache>
              </c15:datalabelsRange>
            </c:ext>
            <c:ext xmlns:c16="http://schemas.microsoft.com/office/drawing/2014/chart" uri="{C3380CC4-5D6E-409C-BE32-E72D297353CC}">
              <c16:uniqueId val="{00000003-6AE8-47B0-9EEB-62D1FA4FFA5F}"/>
            </c:ext>
          </c:extLst>
        </c:ser>
        <c:ser>
          <c:idx val="2"/>
          <c:order val="2"/>
          <c:tx>
            <c:v>KfM</c:v>
          </c:tx>
          <c:spPr>
            <a:ln w="9525">
              <a:solidFill>
                <a:schemeClr val="accent5">
                  <a:lumMod val="50000"/>
                </a:schemeClr>
              </a:solidFill>
            </a:ln>
          </c:spPr>
          <c:marker>
            <c:symbol val="none"/>
          </c:marker>
          <c:dLbls>
            <c:dLbl>
              <c:idx val="0"/>
              <c:layout>
                <c:manualLayout>
                  <c:x val="-0.14843801943333682"/>
                  <c:y val="-1.5768781507501467E-2"/>
                </c:manualLayout>
              </c:layout>
              <c:tx>
                <c:rich>
                  <a:bodyPr wrap="square" lIns="38100" tIns="19050" rIns="38100" bIns="19050" anchor="ctr">
                    <a:spAutoFit/>
                  </a:bodyPr>
                  <a:lstStyle/>
                  <a:p>
                    <a:pPr>
                      <a:defRPr sz="800"/>
                    </a:pPr>
                    <a:fld id="{5FA27133-34D4-49A9-9EE1-B710CDE8719F}" type="CELLRANGE">
                      <a:rPr lang="en-US" sz="800" baseline="0"/>
                      <a:pPr>
                        <a:defRPr sz="800"/>
                      </a:pPr>
                      <a:t>[CELLRANGE]</a:t>
                    </a:fld>
                    <a:r>
                      <a:rPr lang="en-US" sz="800" baseline="0"/>
                      <a:t>; </a:t>
                    </a:r>
                    <a:fld id="{959D233B-A303-4963-8345-1BB375471EDF}" type="YVALUE">
                      <a:rPr lang="en-US" sz="800" baseline="0"/>
                      <a:pPr>
                        <a:defRPr sz="800"/>
                      </a:pPr>
                      <a:t>[Y-VÄRDE]</a:t>
                    </a:fld>
                    <a:endParaRPr lang="en-US" sz="800" baseline="0"/>
                  </a:p>
                </c:rich>
              </c:tx>
              <c:numFmt formatCode="0%" sourceLinked="0"/>
              <c:spPr>
                <a:noFill/>
                <a:ln>
                  <a:noFill/>
                </a:ln>
                <a:effectLst/>
              </c:sp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6AE8-47B0-9EEB-62D1FA4FFA5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E8-47B0-9EEB-62D1FA4FFA5F}"/>
                </c:ext>
              </c:extLst>
            </c:dLbl>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xVal>
            <c:numRef>
              <c:f>Histogram!$X$10:$X$11</c:f>
              <c:numCache>
                <c:formatCode>General</c:formatCode>
                <c:ptCount val="2"/>
                <c:pt idx="0">
                  <c:v>4734</c:v>
                </c:pt>
                <c:pt idx="1">
                  <c:v>0</c:v>
                </c:pt>
              </c:numCache>
            </c:numRef>
          </c:xVal>
          <c:yVal>
            <c:numRef>
              <c:f>Histogram!$W$10:$W$11</c:f>
              <c:numCache>
                <c:formatCode>General</c:formatCode>
                <c:ptCount val="2"/>
                <c:pt idx="0">
                  <c:v>0.251</c:v>
                </c:pt>
                <c:pt idx="1">
                  <c:v>0.251</c:v>
                </c:pt>
              </c:numCache>
            </c:numRef>
          </c:yVal>
          <c:smooth val="0"/>
          <c:extLst xmlns:c16r2="http://schemas.microsoft.com/office/drawing/2015/06/chart">
            <c:ext xmlns:c15="http://schemas.microsoft.com/office/drawing/2012/chart" uri="{02D57815-91ED-43cb-92C2-25804820EDAC}">
              <c15:datalabelsRange>
                <c15:f>Histogram!$U$20</c15:f>
                <c15:dlblRangeCache>
                  <c:ptCount val="1"/>
                  <c:pt idx="0">
                    <c:v>KfM, 4734</c:v>
                  </c:pt>
                </c15:dlblRangeCache>
              </c15:datalabelsRange>
            </c:ext>
            <c:ext xmlns:c16="http://schemas.microsoft.com/office/drawing/2014/chart" uri="{C3380CC4-5D6E-409C-BE32-E72D297353CC}">
              <c16:uniqueId val="{00000006-6AE8-47B0-9EEB-62D1FA4FFA5F}"/>
            </c:ext>
          </c:extLst>
        </c:ser>
        <c:ser>
          <c:idx val="3"/>
          <c:order val="3"/>
          <c:tx>
            <c:v>KV</c:v>
          </c:tx>
          <c:spPr>
            <a:ln w="9525">
              <a:solidFill>
                <a:schemeClr val="accent5">
                  <a:lumMod val="50000"/>
                </a:schemeClr>
              </a:solidFill>
            </a:ln>
          </c:spPr>
          <c:marker>
            <c:symbol val="none"/>
          </c:marker>
          <c:dLbls>
            <c:dLbl>
              <c:idx val="0"/>
              <c:layout>
                <c:manualLayout>
                  <c:x val="-0.16572988991575091"/>
                  <c:y val="-1.0600823902658466E-2"/>
                </c:manualLayout>
              </c:layout>
              <c:tx>
                <c:rich>
                  <a:bodyPr wrap="square" lIns="38100" tIns="19050" rIns="38100" bIns="19050" anchor="ctr">
                    <a:spAutoFit/>
                  </a:bodyPr>
                  <a:lstStyle/>
                  <a:p>
                    <a:pPr>
                      <a:defRPr sz="800"/>
                    </a:pPr>
                    <a:fld id="{22A394DD-05F0-4D54-B3A5-76C547F601B3}" type="CELLRANGE">
                      <a:rPr lang="en-US" sz="800" baseline="0"/>
                      <a:pPr>
                        <a:defRPr sz="800"/>
                      </a:pPr>
                      <a:t>[CELLRANGE]</a:t>
                    </a:fld>
                    <a:r>
                      <a:rPr lang="en-US" sz="800" baseline="0"/>
                      <a:t>; </a:t>
                    </a:r>
                    <a:fld id="{603C16A4-54BD-4EC4-8C0D-02DF7F7CF5FD}" type="YVALUE">
                      <a:rPr lang="en-US" sz="800" baseline="0"/>
                      <a:pPr>
                        <a:defRPr sz="800"/>
                      </a:pPr>
                      <a:t>[Y-VÄRDE]</a:t>
                    </a:fld>
                    <a:endParaRPr lang="en-US" sz="800" baseline="0"/>
                  </a:p>
                </c:rich>
              </c:tx>
              <c:numFmt formatCode="0%" sourceLinked="0"/>
              <c:spPr>
                <a:noFill/>
                <a:ln>
                  <a:noFill/>
                </a:ln>
                <a:effectLst/>
              </c:sp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6AE8-47B0-9EEB-62D1FA4FFA5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AE8-47B0-9EEB-62D1FA4FFA5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xVal>
            <c:numRef>
              <c:f>Histogram!$AA$10:$AA$11</c:f>
              <c:numCache>
                <c:formatCode>General</c:formatCode>
                <c:ptCount val="2"/>
                <c:pt idx="0">
                  <c:v>6350</c:v>
                </c:pt>
                <c:pt idx="1">
                  <c:v>0</c:v>
                </c:pt>
              </c:numCache>
            </c:numRef>
          </c:xVal>
          <c:yVal>
            <c:numRef>
              <c:f>Histogram!$Z$10:$Z$11</c:f>
              <c:numCache>
                <c:formatCode>General</c:formatCode>
                <c:ptCount val="2"/>
                <c:pt idx="0">
                  <c:v>0.42499999999999999</c:v>
                </c:pt>
                <c:pt idx="1">
                  <c:v>0.42499999999999999</c:v>
                </c:pt>
              </c:numCache>
            </c:numRef>
          </c:yVal>
          <c:smooth val="0"/>
          <c:extLst xmlns:c16r2="http://schemas.microsoft.com/office/drawing/2015/06/chart">
            <c:ext xmlns:c15="http://schemas.microsoft.com/office/drawing/2012/chart" uri="{02D57815-91ED-43cb-92C2-25804820EDAC}">
              <c15:datalabelsRange>
                <c15:f>Histogram!$U$19</c15:f>
                <c15:dlblRangeCache>
                  <c:ptCount val="1"/>
                  <c:pt idx="0">
                    <c:v>KV, 6350</c:v>
                  </c:pt>
                </c15:dlblRangeCache>
              </c15:datalabelsRange>
            </c:ext>
            <c:ext xmlns:c16="http://schemas.microsoft.com/office/drawing/2014/chart" uri="{C3380CC4-5D6E-409C-BE32-E72D297353CC}">
              <c16:uniqueId val="{00000009-6AE8-47B0-9EEB-62D1FA4FFA5F}"/>
            </c:ext>
          </c:extLst>
        </c:ser>
        <c:ser>
          <c:idx val="4"/>
          <c:order val="4"/>
          <c:tx>
            <c:v>Median</c:v>
          </c:tx>
          <c:spPr>
            <a:ln w="9525">
              <a:solidFill>
                <a:schemeClr val="accent5">
                  <a:lumMod val="50000"/>
                </a:schemeClr>
              </a:solidFill>
            </a:ln>
          </c:spPr>
          <c:marker>
            <c:symbol val="none"/>
          </c:marker>
          <c:dLbls>
            <c:dLbl>
              <c:idx val="0"/>
              <c:layout>
                <c:manualLayout>
                  <c:x val="-0.21128482281090014"/>
                  <c:y val="-1.3184802705080014E-2"/>
                </c:manualLayout>
              </c:layout>
              <c:tx>
                <c:rich>
                  <a:bodyPr wrap="square" lIns="38100" tIns="19050" rIns="38100" bIns="19050" anchor="ctr">
                    <a:spAutoFit/>
                  </a:bodyPr>
                  <a:lstStyle/>
                  <a:p>
                    <a:pPr>
                      <a:defRPr sz="800"/>
                    </a:pPr>
                    <a:fld id="{33D976B4-3C44-41AF-A786-CC20FED6E155}" type="CELLRANGE">
                      <a:rPr lang="en-US"/>
                      <a:pPr>
                        <a:defRPr sz="800"/>
                      </a:pPr>
                      <a:t>[CELLRANGE]</a:t>
                    </a:fld>
                    <a:endParaRPr lang="sv-SE"/>
                  </a:p>
                </c:rich>
              </c:tx>
              <c:spPr>
                <a:noFill/>
                <a:ln>
                  <a:noFill/>
                </a:ln>
                <a:effectLst/>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6AE8-47B0-9EEB-62D1FA4FFA5F}"/>
                </c:ext>
              </c:extLst>
            </c:dLbl>
            <c:dLbl>
              <c:idx val="1"/>
              <c:tx>
                <c:rich>
                  <a:bodyPr/>
                  <a:lstStyle/>
                  <a:p>
                    <a:endParaRPr lang="en-US"/>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AE8-47B0-9EEB-62D1FA4FFA5F}"/>
                </c:ext>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xVal>
            <c:numRef>
              <c:f>Histogram!$R$10:$R$11</c:f>
              <c:numCache>
                <c:formatCode>General</c:formatCode>
                <c:ptCount val="2"/>
                <c:pt idx="0">
                  <c:v>8000</c:v>
                </c:pt>
                <c:pt idx="1">
                  <c:v>0</c:v>
                </c:pt>
              </c:numCache>
            </c:numRef>
          </c:xVal>
          <c:yVal>
            <c:numRef>
              <c:f>Histogram!$Q$10:$Q$11</c:f>
              <c:numCache>
                <c:formatCode>General</c:formatCode>
                <c:ptCount val="2"/>
                <c:pt idx="0">
                  <c:v>0.5</c:v>
                </c:pt>
                <c:pt idx="1">
                  <c:v>0.5</c:v>
                </c:pt>
              </c:numCache>
            </c:numRef>
          </c:yVal>
          <c:smooth val="0"/>
          <c:extLst xmlns:c16r2="http://schemas.microsoft.com/office/drawing/2015/06/chart">
            <c:ext xmlns:c15="http://schemas.microsoft.com/office/drawing/2012/chart" uri="{02D57815-91ED-43cb-92C2-25804820EDAC}">
              <c15:datalabelsRange>
                <c15:f>Histogram!$U$18</c15:f>
                <c15:dlblRangeCache>
                  <c:ptCount val="1"/>
                  <c:pt idx="0">
                    <c:v>Median, 8000</c:v>
                  </c:pt>
                </c15:dlblRangeCache>
              </c15:datalabelsRange>
            </c:ext>
            <c:ext xmlns:c16="http://schemas.microsoft.com/office/drawing/2014/chart" uri="{C3380CC4-5D6E-409C-BE32-E72D297353CC}">
              <c16:uniqueId val="{0000000C-6AE8-47B0-9EEB-62D1FA4FFA5F}"/>
            </c:ext>
          </c:extLst>
        </c:ser>
        <c:ser>
          <c:idx val="5"/>
          <c:order val="5"/>
          <c:tx>
            <c:v>Mean</c:v>
          </c:tx>
          <c:marker>
            <c:symbol val="none"/>
          </c:marker>
          <c:dPt>
            <c:idx val="1"/>
            <c:bubble3D val="0"/>
            <c:spPr>
              <a:ln w="9525">
                <a:solidFill>
                  <a:schemeClr val="accent5">
                    <a:lumMod val="50000"/>
                  </a:schemeClr>
                </a:solidFill>
              </a:ln>
            </c:spPr>
            <c:extLst xmlns:c16r2="http://schemas.microsoft.com/office/drawing/2015/06/chart">
              <c:ext xmlns:c16="http://schemas.microsoft.com/office/drawing/2014/chart" uri="{C3380CC4-5D6E-409C-BE32-E72D297353CC}">
                <c16:uniqueId val="{0000000E-6AE8-47B0-9EEB-62D1FA4FFA5F}"/>
              </c:ext>
            </c:extLst>
          </c:dPt>
          <c:dLbls>
            <c:dLbl>
              <c:idx val="0"/>
              <c:layout>
                <c:manualLayout>
                  <c:x val="-0.24642952803396559"/>
                  <c:y val="-1.3184802705079919E-2"/>
                </c:manualLayout>
              </c:layout>
              <c:tx>
                <c:rich>
                  <a:bodyPr wrap="square" lIns="38100" tIns="19050" rIns="38100" bIns="19050" anchor="ctr">
                    <a:spAutoFit/>
                  </a:bodyPr>
                  <a:lstStyle/>
                  <a:p>
                    <a:pPr>
                      <a:defRPr sz="800"/>
                    </a:pPr>
                    <a:fld id="{3523BF04-50B3-4914-8D2F-1C5C4F69C1C4}" type="CELLRANGE">
                      <a:rPr lang="en-US" sz="800" baseline="0"/>
                      <a:pPr>
                        <a:defRPr sz="800"/>
                      </a:pPr>
                      <a:t>[CELLRANGE]</a:t>
                    </a:fld>
                    <a:r>
                      <a:rPr lang="en-US" sz="800" baseline="0"/>
                      <a:t>; </a:t>
                    </a:r>
                    <a:fld id="{BC597F1A-EB07-4645-91B8-75163B630BC1}" type="YVALUE">
                      <a:rPr lang="en-US" sz="800" baseline="0"/>
                      <a:pPr>
                        <a:defRPr sz="800"/>
                      </a:pPr>
                      <a:t>[Y-VÄRDE]</a:t>
                    </a:fld>
                    <a:endParaRPr lang="en-US" sz="800" baseline="0"/>
                  </a:p>
                </c:rich>
              </c:tx>
              <c:numFmt formatCode="0%" sourceLinked="0"/>
              <c:spPr>
                <a:noFill/>
                <a:ln>
                  <a:noFill/>
                </a:ln>
                <a:effectLst/>
              </c:sp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6AE8-47B0-9EEB-62D1FA4FFA5F}"/>
                </c:ext>
              </c:extLst>
            </c:dLbl>
            <c:dLbl>
              <c:idx val="1"/>
              <c:layout>
                <c:manualLayout>
                  <c:x val="6.7177227092693012E-2"/>
                  <c:y val="-2.0936739112344324E-2"/>
                </c:manualLayout>
              </c:layout>
              <c:tx>
                <c:rich>
                  <a:bodyPr/>
                  <a:lstStyle/>
                  <a:p>
                    <a:endParaRPr lang="en-US"/>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AE8-47B0-9EEB-62D1FA4FFA5F}"/>
                </c:ext>
              </c:extLst>
            </c:dLbl>
            <c:spPr>
              <a:noFill/>
              <a:ln>
                <a:noFill/>
              </a:ln>
              <a:effectLst/>
            </c:spPr>
            <c:dLblPos val="t"/>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xVal>
            <c:numRef>
              <c:f>Histogram!$R$5:$R$6</c:f>
              <c:numCache>
                <c:formatCode>General</c:formatCode>
                <c:ptCount val="2"/>
                <c:pt idx="0">
                  <c:v>9507</c:v>
                </c:pt>
                <c:pt idx="1">
                  <c:v>0</c:v>
                </c:pt>
              </c:numCache>
            </c:numRef>
          </c:xVal>
          <c:yVal>
            <c:numRef>
              <c:f>Histogram!$Q$5:$Q$6</c:f>
              <c:numCache>
                <c:formatCode>General</c:formatCode>
                <c:ptCount val="2"/>
                <c:pt idx="0">
                  <c:v>0.55100000000000005</c:v>
                </c:pt>
                <c:pt idx="1">
                  <c:v>0.55100000000000005</c:v>
                </c:pt>
              </c:numCache>
            </c:numRef>
          </c:yVal>
          <c:smooth val="0"/>
          <c:extLst xmlns:c16r2="http://schemas.microsoft.com/office/drawing/2015/06/chart">
            <c:ext xmlns:c15="http://schemas.microsoft.com/office/drawing/2012/chart" uri="{02D57815-91ED-43cb-92C2-25804820EDAC}">
              <c15:datalabelsRange>
                <c15:f>Histogram!$U$17</c15:f>
                <c15:dlblRangeCache>
                  <c:ptCount val="1"/>
                  <c:pt idx="0">
                    <c:v>Medel, 9507</c:v>
                  </c:pt>
                </c15:dlblRangeCache>
              </c15:datalabelsRange>
            </c:ext>
            <c:ext xmlns:c16="http://schemas.microsoft.com/office/drawing/2014/chart" uri="{C3380CC4-5D6E-409C-BE32-E72D297353CC}">
              <c16:uniqueId val="{00000010-6AE8-47B0-9EEB-62D1FA4FFA5F}"/>
            </c:ext>
          </c:extLst>
        </c:ser>
        <c:dLbls>
          <c:showLegendKey val="0"/>
          <c:showVal val="0"/>
          <c:showCatName val="0"/>
          <c:showSerName val="0"/>
          <c:showPercent val="0"/>
          <c:showBubbleSize val="0"/>
        </c:dLbls>
        <c:axId val="187131392"/>
        <c:axId val="187133312"/>
      </c:scatterChart>
      <c:valAx>
        <c:axId val="187131392"/>
        <c:scaling>
          <c:orientation val="minMax"/>
          <c:max val="30000"/>
          <c:min val="0"/>
        </c:scaling>
        <c:delete val="0"/>
        <c:axPos val="b"/>
        <c:title>
          <c:tx>
            <c:rich>
              <a:bodyPr/>
              <a:lstStyle/>
              <a:p>
                <a:pPr>
                  <a:defRPr sz="800" b="1">
                    <a:latin typeface="+mn-lt"/>
                    <a:ea typeface="Arial"/>
                    <a:cs typeface="Arial"/>
                  </a:defRPr>
                </a:pPr>
                <a:r>
                  <a:rPr lang="en-US" sz="800" b="1" i="0" baseline="0">
                    <a:effectLst/>
                  </a:rPr>
                  <a:t>Inkomster efter boendekostnader, kr</a:t>
                </a:r>
                <a:endParaRPr lang="en-US" sz="800">
                  <a:effectLst/>
                </a:endParaRPr>
              </a:p>
            </c:rich>
          </c:tx>
          <c:layout>
            <c:manualLayout>
              <c:xMode val="edge"/>
              <c:yMode val="edge"/>
              <c:x val="0.59812238535685225"/>
              <c:y val="0.94750975351654465"/>
            </c:manualLayout>
          </c:layout>
          <c:overlay val="0"/>
        </c:title>
        <c:numFmt formatCode="General" sourceLinked="0"/>
        <c:majorTickMark val="out"/>
        <c:minorTickMark val="none"/>
        <c:tickLblPos val="nextTo"/>
        <c:spPr>
          <a:ln/>
        </c:spPr>
        <c:txPr>
          <a:bodyPr/>
          <a:lstStyle/>
          <a:p>
            <a:pPr>
              <a:defRPr sz="800"/>
            </a:pPr>
            <a:endParaRPr lang="sv-SE"/>
          </a:p>
        </c:txPr>
        <c:crossAx val="187133312"/>
        <c:crosses val="autoZero"/>
        <c:crossBetween val="midCat"/>
      </c:valAx>
      <c:valAx>
        <c:axId val="187133312"/>
        <c:scaling>
          <c:orientation val="minMax"/>
          <c:max val="1"/>
          <c:min val="0"/>
        </c:scaling>
        <c:delete val="0"/>
        <c:axPos val="l"/>
        <c:title>
          <c:tx>
            <c:rich>
              <a:bodyPr/>
              <a:lstStyle/>
              <a:p>
                <a:pPr>
                  <a:defRPr sz="800" b="1">
                    <a:latin typeface="+mn-lt"/>
                    <a:ea typeface="Arial"/>
                    <a:cs typeface="Arial"/>
                  </a:defRPr>
                </a:pPr>
                <a:r>
                  <a:rPr lang="en-US" sz="800" b="1" i="0" baseline="0">
                    <a:effectLst/>
                  </a:rPr>
                  <a:t>Andel av unga vuxna med eget boende </a:t>
                </a:r>
                <a:endParaRPr lang="en-US" sz="800">
                  <a:effectLst/>
                </a:endParaRPr>
              </a:p>
            </c:rich>
          </c:tx>
          <c:layout>
            <c:manualLayout>
              <c:xMode val="edge"/>
              <c:yMode val="edge"/>
              <c:x val="8.8541989019931457E-3"/>
              <c:y val="3.8590779520193262E-2"/>
            </c:manualLayout>
          </c:layout>
          <c:overlay val="0"/>
        </c:title>
        <c:numFmt formatCode="General" sourceLinked="0"/>
        <c:majorTickMark val="out"/>
        <c:minorTickMark val="none"/>
        <c:tickLblPos val="nextTo"/>
        <c:spPr>
          <a:ln/>
        </c:spPr>
        <c:txPr>
          <a:bodyPr/>
          <a:lstStyle/>
          <a:p>
            <a:pPr>
              <a:defRPr sz="700"/>
            </a:pPr>
            <a:endParaRPr lang="sv-SE"/>
          </a:p>
        </c:txPr>
        <c:crossAx val="187131392"/>
        <c:crosses val="autoZero"/>
        <c:crossBetween val="midCat"/>
      </c:valAx>
      <c:spPr>
        <a:ln>
          <a:noFill/>
          <a:prstDash val="solid"/>
        </a:ln>
      </c:spPr>
    </c:plotArea>
    <c:legend>
      <c:legendPos val="t"/>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0.43564510768031733"/>
          <c:y val="0.38652848468777701"/>
          <c:w val="0.50855734736214742"/>
          <c:h val="0.17334082619365071"/>
        </c:manualLayout>
      </c:layout>
      <c:overlay val="0"/>
      <c:txPr>
        <a:bodyPr/>
        <a:lstStyle/>
        <a:p>
          <a:pPr>
            <a:defRPr sz="800"/>
          </a:pPr>
          <a:endParaRPr lang="sv-SE"/>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3864971716388E-2"/>
          <c:y val="2.1194608225176857E-2"/>
          <c:w val="0.88570669890645082"/>
          <c:h val="0.82344572746586064"/>
        </c:manualLayout>
      </c:layout>
      <c:lineChart>
        <c:grouping val="standard"/>
        <c:varyColors val="0"/>
        <c:ser>
          <c:idx val="0"/>
          <c:order val="0"/>
          <c:tx>
            <c:strRef>
              <c:f>'LCC-3 Clusters3'!$P$67</c:f>
              <c:strCache>
                <c:ptCount val="1"/>
                <c:pt idx="0">
                  <c:v>Grupp1: Flyttbenägen, utsatt. Medelinkomst 6 330 kr</c:v>
                </c:pt>
              </c:strCache>
            </c:strRef>
          </c:tx>
          <c:spPr>
            <a:ln w="9525" cap="rnd">
              <a:solidFill>
                <a:srgbClr val="C00000"/>
              </a:solidFill>
              <a:round/>
            </a:ln>
            <a:effectLst/>
          </c:spPr>
          <c:marker>
            <c:symbol val="none"/>
          </c:marker>
          <c:cat>
            <c:strRef>
              <c:f>'LCC-3 Clusters3'!$O$68:$O$99</c:f>
              <c:strCache>
                <c:ptCount val="24"/>
                <c:pt idx="0">
                  <c:v>Trygg anställning</c:v>
                </c:pt>
                <c:pt idx="1">
                  <c:v>Har råd att bo där man vill</c:v>
                </c:pt>
                <c:pt idx="2">
                  <c:v>Prioriterar bra framför billigt</c:v>
                </c:pt>
                <c:pt idx="3">
                  <c:v>Bostadsrätt</c:v>
                </c:pt>
                <c:pt idx="4">
                  <c:v>Föredrar att äga</c:v>
                </c:pt>
                <c:pt idx="5">
                  <c:v>Finns bostäder där man vill bo</c:v>
                </c:pt>
                <c:pt idx="6">
                  <c:v>Är nöjd med boendet</c:v>
                </c:pt>
                <c:pt idx="7">
                  <c:v>Hyresrätt</c:v>
                </c:pt>
                <c:pt idx="8">
                  <c:v>Eget hus</c:v>
                </c:pt>
                <c:pt idx="9">
                  <c:v>Studentbostad</c:v>
                </c:pt>
                <c:pt idx="10">
                  <c:v>Kan ej få hjälp med hyra</c:v>
                </c:pt>
                <c:pt idx="11">
                  <c:v>Får ekonomisk hjälp nu</c:v>
                </c:pt>
                <c:pt idx="12">
                  <c:v>Tvekar ta jobb/utb på annan ort</c:v>
                </c:pt>
                <c:pt idx="13">
                  <c:v>Vet ej inkomst nästa månad</c:v>
                </c:pt>
                <c:pt idx="14">
                  <c:v>Kan ej få borgenär</c:v>
                </c:pt>
                <c:pt idx="15">
                  <c:v>Tvekar bilda familj</c:v>
                </c:pt>
                <c:pt idx="16">
                  <c:v>Föredrar att hyra</c:v>
                </c:pt>
                <c:pt idx="17">
                  <c:v>Bor i osäkra boendeformer</c:v>
                </c:pt>
                <c:pt idx="18">
                  <c:v>Bor i tidsbegränsat boende</c:v>
                </c:pt>
                <c:pt idx="19">
                  <c:v>Kan ej få hjälp med bostadsköp</c:v>
                </c:pt>
                <c:pt idx="20">
                  <c:v>Prioriterar billigt framför bra</c:v>
                </c:pt>
                <c:pt idx="21">
                  <c:v>Studerar</c:v>
                </c:pt>
                <c:pt idx="22">
                  <c:v>Svårt att klara boendekostnader</c:v>
                </c:pt>
                <c:pt idx="23">
                  <c:v>Vill flytta</c:v>
                </c:pt>
              </c:strCache>
            </c:strRef>
          </c:cat>
          <c:val>
            <c:numRef>
              <c:f>'LCC-3 Clusters3'!$P$68:$P$99</c:f>
              <c:numCache>
                <c:formatCode>General</c:formatCode>
                <c:ptCount val="24"/>
                <c:pt idx="0">
                  <c:v>-0.18260898689860067</c:v>
                </c:pt>
                <c:pt idx="1">
                  <c:v>-0.14988527048598277</c:v>
                </c:pt>
                <c:pt idx="2">
                  <c:v>-0.14644086017575264</c:v>
                </c:pt>
                <c:pt idx="3">
                  <c:v>-0.13561102617670956</c:v>
                </c:pt>
                <c:pt idx="4">
                  <c:v>-0.12347812711592343</c:v>
                </c:pt>
                <c:pt idx="5">
                  <c:v>-0.10418214075053389</c:v>
                </c:pt>
                <c:pt idx="6">
                  <c:v>-9.3620402454506729E-2</c:v>
                </c:pt>
                <c:pt idx="7">
                  <c:v>-2.8129402667103176E-2</c:v>
                </c:pt>
                <c:pt idx="8">
                  <c:v>-2.0239701253292088E-2</c:v>
                </c:pt>
                <c:pt idx="9">
                  <c:v>5.0737971206842189E-2</c:v>
                </c:pt>
                <c:pt idx="10">
                  <c:v>9.1420603062998568E-2</c:v>
                </c:pt>
                <c:pt idx="11">
                  <c:v>0.10606448113484546</c:v>
                </c:pt>
                <c:pt idx="12">
                  <c:v>0.11215048768870295</c:v>
                </c:pt>
                <c:pt idx="13">
                  <c:v>0.11599918441199261</c:v>
                </c:pt>
                <c:pt idx="14">
                  <c:v>0.11959757137592952</c:v>
                </c:pt>
                <c:pt idx="15">
                  <c:v>0.12072385201697911</c:v>
                </c:pt>
                <c:pt idx="16">
                  <c:v>0.12347812711592354</c:v>
                </c:pt>
                <c:pt idx="17">
                  <c:v>0.13324215889026264</c:v>
                </c:pt>
                <c:pt idx="18">
                  <c:v>0.13822833933235801</c:v>
                </c:pt>
                <c:pt idx="19">
                  <c:v>0.14565285066505917</c:v>
                </c:pt>
                <c:pt idx="20">
                  <c:v>0.14644086017575259</c:v>
                </c:pt>
                <c:pt idx="21">
                  <c:v>0.14864681889965836</c:v>
                </c:pt>
                <c:pt idx="22">
                  <c:v>0.19776559385491715</c:v>
                </c:pt>
                <c:pt idx="23">
                  <c:v>0.17557800612537386</c:v>
                </c:pt>
              </c:numCache>
            </c:numRef>
          </c:val>
          <c:smooth val="1"/>
          <c:extLst xmlns:c16r2="http://schemas.microsoft.com/office/drawing/2015/06/chart">
            <c:ext xmlns:c16="http://schemas.microsoft.com/office/drawing/2014/chart" uri="{C3380CC4-5D6E-409C-BE32-E72D297353CC}">
              <c16:uniqueId val="{00000000-6B56-4819-91E5-1DE8498FF1B7}"/>
            </c:ext>
          </c:extLst>
        </c:ser>
        <c:ser>
          <c:idx val="1"/>
          <c:order val="1"/>
          <c:tx>
            <c:strRef>
              <c:f>'LCC-3 Clusters3'!$Q$67</c:f>
              <c:strCache>
                <c:ptCount val="1"/>
                <c:pt idx="0">
                  <c:v>Grupp 2: Flyttbenägen, ej utsatt. Medelinkomst 13 645 kr</c:v>
                </c:pt>
              </c:strCache>
            </c:strRef>
          </c:tx>
          <c:spPr>
            <a:ln w="9525" cap="rnd">
              <a:solidFill>
                <a:schemeClr val="accent5">
                  <a:lumMod val="50000"/>
                </a:schemeClr>
              </a:solidFill>
              <a:round/>
            </a:ln>
            <a:effectLst/>
          </c:spPr>
          <c:marker>
            <c:symbol val="none"/>
          </c:marker>
          <c:cat>
            <c:strRef>
              <c:f>'LCC-3 Clusters3'!$O$68:$O$99</c:f>
              <c:strCache>
                <c:ptCount val="24"/>
                <c:pt idx="0">
                  <c:v>Trygg anställning</c:v>
                </c:pt>
                <c:pt idx="1">
                  <c:v>Har råd att bo där man vill</c:v>
                </c:pt>
                <c:pt idx="2">
                  <c:v>Prioriterar bra framför billigt</c:v>
                </c:pt>
                <c:pt idx="3">
                  <c:v>Bostadsrätt</c:v>
                </c:pt>
                <c:pt idx="4">
                  <c:v>Föredrar att äga</c:v>
                </c:pt>
                <c:pt idx="5">
                  <c:v>Finns bostäder där man vill bo</c:v>
                </c:pt>
                <c:pt idx="6">
                  <c:v>Är nöjd med boendet</c:v>
                </c:pt>
                <c:pt idx="7">
                  <c:v>Hyresrätt</c:v>
                </c:pt>
                <c:pt idx="8">
                  <c:v>Eget hus</c:v>
                </c:pt>
                <c:pt idx="9">
                  <c:v>Studentbostad</c:v>
                </c:pt>
                <c:pt idx="10">
                  <c:v>Kan ej få hjälp med hyra</c:v>
                </c:pt>
                <c:pt idx="11">
                  <c:v>Får ekonomisk hjälp nu</c:v>
                </c:pt>
                <c:pt idx="12">
                  <c:v>Tvekar ta jobb/utb på annan ort</c:v>
                </c:pt>
                <c:pt idx="13">
                  <c:v>Vet ej inkomst nästa månad</c:v>
                </c:pt>
                <c:pt idx="14">
                  <c:v>Kan ej få borgenär</c:v>
                </c:pt>
                <c:pt idx="15">
                  <c:v>Tvekar bilda familj</c:v>
                </c:pt>
                <c:pt idx="16">
                  <c:v>Föredrar att hyra</c:v>
                </c:pt>
                <c:pt idx="17">
                  <c:v>Bor i osäkra boendeformer</c:v>
                </c:pt>
                <c:pt idx="18">
                  <c:v>Bor i tidsbegränsat boende</c:v>
                </c:pt>
                <c:pt idx="19">
                  <c:v>Kan ej få hjälp med bostadsköp</c:v>
                </c:pt>
                <c:pt idx="20">
                  <c:v>Prioriterar billigt framför bra</c:v>
                </c:pt>
                <c:pt idx="21">
                  <c:v>Studerar</c:v>
                </c:pt>
                <c:pt idx="22">
                  <c:v>Svårt att klara boendekostnader</c:v>
                </c:pt>
                <c:pt idx="23">
                  <c:v>Vill flytta</c:v>
                </c:pt>
              </c:strCache>
            </c:strRef>
          </c:cat>
          <c:val>
            <c:numRef>
              <c:f>'LCC-3 Clusters3'!$Q$68:$Q$99</c:f>
              <c:numCache>
                <c:formatCode>General</c:formatCode>
                <c:ptCount val="24"/>
                <c:pt idx="0">
                  <c:v>0.17660805352051029</c:v>
                </c:pt>
                <c:pt idx="1">
                  <c:v>5.6058528526472973E-2</c:v>
                </c:pt>
                <c:pt idx="2">
                  <c:v>8.4144007586252623E-2</c:v>
                </c:pt>
                <c:pt idx="3">
                  <c:v>2.3239398877931611E-2</c:v>
                </c:pt>
                <c:pt idx="4">
                  <c:v>6.3038573382870777E-2</c:v>
                </c:pt>
                <c:pt idx="5">
                  <c:v>2.1738179250430801E-2</c:v>
                </c:pt>
                <c:pt idx="6">
                  <c:v>-1.7200459528237833E-2</c:v>
                </c:pt>
                <c:pt idx="7">
                  <c:v>6.2608386283932116E-2</c:v>
                </c:pt>
                <c:pt idx="8">
                  <c:v>-3.6171245820531134E-3</c:v>
                </c:pt>
                <c:pt idx="9">
                  <c:v>-3.9216281725296745E-2</c:v>
                </c:pt>
                <c:pt idx="10">
                  <c:v>-4.1995930181926572E-2</c:v>
                </c:pt>
                <c:pt idx="11">
                  <c:v>-9.9382481694870614E-2</c:v>
                </c:pt>
                <c:pt idx="12">
                  <c:v>-3.8456637434330657E-2</c:v>
                </c:pt>
                <c:pt idx="13">
                  <c:v>-7.782848133479435E-2</c:v>
                </c:pt>
                <c:pt idx="14">
                  <c:v>-4.9391207189586006E-2</c:v>
                </c:pt>
                <c:pt idx="15">
                  <c:v>-2.3889509000386954E-2</c:v>
                </c:pt>
                <c:pt idx="16">
                  <c:v>-6.303857338287075E-2</c:v>
                </c:pt>
                <c:pt idx="17">
                  <c:v>-4.3014378854513813E-2</c:v>
                </c:pt>
                <c:pt idx="18">
                  <c:v>-5.6570876499261985E-2</c:v>
                </c:pt>
                <c:pt idx="19">
                  <c:v>-3.5076346113004142E-2</c:v>
                </c:pt>
                <c:pt idx="20">
                  <c:v>-8.4144007586252484E-2</c:v>
                </c:pt>
                <c:pt idx="21">
                  <c:v>-0.19031648783563179</c:v>
                </c:pt>
                <c:pt idx="22">
                  <c:v>-0.14500861369356977</c:v>
                </c:pt>
                <c:pt idx="23">
                  <c:v>0.20951696804142736</c:v>
                </c:pt>
              </c:numCache>
            </c:numRef>
          </c:val>
          <c:smooth val="1"/>
          <c:extLst xmlns:c16r2="http://schemas.microsoft.com/office/drawing/2015/06/chart">
            <c:ext xmlns:c16="http://schemas.microsoft.com/office/drawing/2014/chart" uri="{C3380CC4-5D6E-409C-BE32-E72D297353CC}">
              <c16:uniqueId val="{00000001-6B56-4819-91E5-1DE8498FF1B7}"/>
            </c:ext>
          </c:extLst>
        </c:ser>
        <c:ser>
          <c:idx val="2"/>
          <c:order val="2"/>
          <c:tx>
            <c:strRef>
              <c:f>'LCC-3 Clusters3'!$R$67</c:f>
              <c:strCache>
                <c:ptCount val="1"/>
                <c:pt idx="0">
                  <c:v>Grupp 3: Ej flyttbenägen, ej utsatt. Medelinkomst 10 161 kr</c:v>
                </c:pt>
              </c:strCache>
            </c:strRef>
          </c:tx>
          <c:spPr>
            <a:ln w="9525" cap="rnd">
              <a:solidFill>
                <a:schemeClr val="accent6"/>
              </a:solidFill>
              <a:round/>
            </a:ln>
            <a:effectLst/>
          </c:spPr>
          <c:marker>
            <c:symbol val="none"/>
          </c:marker>
          <c:cat>
            <c:strRef>
              <c:f>'LCC-3 Clusters3'!$O$68:$O$99</c:f>
              <c:strCache>
                <c:ptCount val="24"/>
                <c:pt idx="0">
                  <c:v>Trygg anställning</c:v>
                </c:pt>
                <c:pt idx="1">
                  <c:v>Har råd att bo där man vill</c:v>
                </c:pt>
                <c:pt idx="2">
                  <c:v>Prioriterar bra framför billigt</c:v>
                </c:pt>
                <c:pt idx="3">
                  <c:v>Bostadsrätt</c:v>
                </c:pt>
                <c:pt idx="4">
                  <c:v>Föredrar att äga</c:v>
                </c:pt>
                <c:pt idx="5">
                  <c:v>Finns bostäder där man vill bo</c:v>
                </c:pt>
                <c:pt idx="6">
                  <c:v>Är nöjd med boendet</c:v>
                </c:pt>
                <c:pt idx="7">
                  <c:v>Hyresrätt</c:v>
                </c:pt>
                <c:pt idx="8">
                  <c:v>Eget hus</c:v>
                </c:pt>
                <c:pt idx="9">
                  <c:v>Studentbostad</c:v>
                </c:pt>
                <c:pt idx="10">
                  <c:v>Kan ej få hjälp med hyra</c:v>
                </c:pt>
                <c:pt idx="11">
                  <c:v>Får ekonomisk hjälp nu</c:v>
                </c:pt>
                <c:pt idx="12">
                  <c:v>Tvekar ta jobb/utb på annan ort</c:v>
                </c:pt>
                <c:pt idx="13">
                  <c:v>Vet ej inkomst nästa månad</c:v>
                </c:pt>
                <c:pt idx="14">
                  <c:v>Kan ej få borgenär</c:v>
                </c:pt>
                <c:pt idx="15">
                  <c:v>Tvekar bilda familj</c:v>
                </c:pt>
                <c:pt idx="16">
                  <c:v>Föredrar att hyra</c:v>
                </c:pt>
                <c:pt idx="17">
                  <c:v>Bor i osäkra boendeformer</c:v>
                </c:pt>
                <c:pt idx="18">
                  <c:v>Bor i tidsbegränsat boende</c:v>
                </c:pt>
                <c:pt idx="19">
                  <c:v>Kan ej få hjälp med bostadsköp</c:v>
                </c:pt>
                <c:pt idx="20">
                  <c:v>Prioriterar billigt framför bra</c:v>
                </c:pt>
                <c:pt idx="21">
                  <c:v>Studerar</c:v>
                </c:pt>
                <c:pt idx="22">
                  <c:v>Svårt att klara boendekostnader</c:v>
                </c:pt>
                <c:pt idx="23">
                  <c:v>Vill flytta</c:v>
                </c:pt>
              </c:strCache>
            </c:strRef>
          </c:cat>
          <c:val>
            <c:numRef>
              <c:f>'LCC-3 Clusters3'!$R$68:$R$99</c:f>
              <c:numCache>
                <c:formatCode>General</c:formatCode>
                <c:ptCount val="24"/>
                <c:pt idx="0">
                  <c:v>6.0009333780902119E-3</c:v>
                </c:pt>
                <c:pt idx="1">
                  <c:v>9.3826741959509713E-2</c:v>
                </c:pt>
                <c:pt idx="2">
                  <c:v>6.2296852589500129E-2</c:v>
                </c:pt>
                <c:pt idx="3">
                  <c:v>0.11237162729877789</c:v>
                </c:pt>
                <c:pt idx="4">
                  <c:v>6.0439553733052875E-2</c:v>
                </c:pt>
                <c:pt idx="5">
                  <c:v>8.2443961500103136E-2</c:v>
                </c:pt>
                <c:pt idx="6">
                  <c:v>0.11082086198274448</c:v>
                </c:pt>
                <c:pt idx="7">
                  <c:v>-3.4478983616828995E-2</c:v>
                </c:pt>
                <c:pt idx="8">
                  <c:v>2.3856825835345194E-2</c:v>
                </c:pt>
                <c:pt idx="9">
                  <c:v>-1.1521689481545444E-2</c:v>
                </c:pt>
                <c:pt idx="10">
                  <c:v>-4.9424672881071982E-2</c:v>
                </c:pt>
                <c:pt idx="11">
                  <c:v>-6.6819994399748006E-3</c:v>
                </c:pt>
                <c:pt idx="12">
                  <c:v>-7.3693850254372389E-2</c:v>
                </c:pt>
                <c:pt idx="13">
                  <c:v>-3.8170703077198304E-2</c:v>
                </c:pt>
                <c:pt idx="14">
                  <c:v>-7.0206364186343545E-2</c:v>
                </c:pt>
                <c:pt idx="15">
                  <c:v>-9.6834343016592189E-2</c:v>
                </c:pt>
                <c:pt idx="16">
                  <c:v>-6.0439553733052764E-2</c:v>
                </c:pt>
                <c:pt idx="17">
                  <c:v>-9.0227780035748772E-2</c:v>
                </c:pt>
                <c:pt idx="18">
                  <c:v>-8.1657462833096078E-2</c:v>
                </c:pt>
                <c:pt idx="19">
                  <c:v>-0.11057650455205509</c:v>
                </c:pt>
                <c:pt idx="20">
                  <c:v>-6.2296852589500101E-2</c:v>
                </c:pt>
                <c:pt idx="21">
                  <c:v>4.1669668935973458E-2</c:v>
                </c:pt>
                <c:pt idx="22">
                  <c:v>-5.2756980161347403E-2</c:v>
                </c:pt>
                <c:pt idx="23">
                  <c:v>-0.38509497416680133</c:v>
                </c:pt>
              </c:numCache>
            </c:numRef>
          </c:val>
          <c:smooth val="1"/>
          <c:extLst xmlns:c16r2="http://schemas.microsoft.com/office/drawing/2015/06/chart">
            <c:ext xmlns:c16="http://schemas.microsoft.com/office/drawing/2014/chart" uri="{C3380CC4-5D6E-409C-BE32-E72D297353CC}">
              <c16:uniqueId val="{00000002-6B56-4819-91E5-1DE8498FF1B7}"/>
            </c:ext>
          </c:extLst>
        </c:ser>
        <c:dLbls>
          <c:showLegendKey val="0"/>
          <c:showVal val="0"/>
          <c:showCatName val="0"/>
          <c:showSerName val="0"/>
          <c:showPercent val="0"/>
          <c:showBubbleSize val="0"/>
        </c:dLbls>
        <c:marker val="1"/>
        <c:smooth val="0"/>
        <c:axId val="187164160"/>
        <c:axId val="187166080"/>
      </c:lineChart>
      <c:catAx>
        <c:axId val="187164160"/>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Indikatorer</a:t>
                </a:r>
              </a:p>
            </c:rich>
          </c:tx>
          <c:layout>
            <c:manualLayout>
              <c:xMode val="edge"/>
              <c:yMode val="edge"/>
              <c:x val="0.88351711341655026"/>
              <c:y val="0.93442970150393345"/>
            </c:manualLayout>
          </c:layout>
          <c:overlay val="0"/>
          <c:spPr>
            <a:noFill/>
            <a:ln>
              <a:noFill/>
            </a:ln>
            <a:effectLst/>
          </c:spPr>
        </c:title>
        <c:numFmt formatCode="General" sourceLinked="1"/>
        <c:majorTickMark val="none"/>
        <c:minorTickMark val="cross"/>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sv-SE"/>
          </a:p>
        </c:txPr>
        <c:crossAx val="187166080"/>
        <c:crosses val="autoZero"/>
        <c:auto val="1"/>
        <c:lblAlgn val="ctr"/>
        <c:lblOffset val="100"/>
        <c:noMultiLvlLbl val="0"/>
      </c:catAx>
      <c:valAx>
        <c:axId val="187166080"/>
        <c:scaling>
          <c:orientation val="minMax"/>
          <c:max val="0.25"/>
          <c:min val="-0.4"/>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Relativ</a:t>
                </a:r>
                <a:r>
                  <a:rPr lang="en-US" b="1" baseline="0"/>
                  <a:t> sannolikhet</a:t>
                </a:r>
                <a:endParaRPr lang="en-US" b="1"/>
              </a:p>
            </c:rich>
          </c:tx>
          <c:layout>
            <c:manualLayout>
              <c:xMode val="edge"/>
              <c:yMode val="edge"/>
              <c:x val="1.0242450164387799E-2"/>
              <c:y val="3.1065196708569883E-2"/>
            </c:manualLayout>
          </c:layout>
          <c:overlay val="0"/>
          <c:spPr>
            <a:noFill/>
            <a:ln>
              <a:noFill/>
            </a:ln>
            <a:effectLst/>
          </c:sp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7164160"/>
        <c:crosses val="autoZero"/>
        <c:crossBetween val="between"/>
      </c:valAx>
      <c:spPr>
        <a:noFill/>
        <a:ln>
          <a:noFill/>
        </a:ln>
        <a:effectLst/>
      </c:spPr>
    </c:plotArea>
    <c:legend>
      <c:legendPos val="b"/>
      <c:layout>
        <c:manualLayout>
          <c:xMode val="edge"/>
          <c:yMode val="edge"/>
          <c:x val="9.511969505521739E-2"/>
          <c:y val="0.58485937293999257"/>
          <c:w val="0.69552894952928979"/>
          <c:h val="0.105579848818874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07794-ABB9-4412-9ED1-1A59C559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6676</Words>
  <Characters>35386</Characters>
  <Application>Microsoft Office Word</Application>
  <DocSecurity>0</DocSecurity>
  <Lines>294</Lines>
  <Paragraphs>83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Hyresgästföreningen</Company>
  <LinksUpToDate>false</LinksUpToDate>
  <CharactersWithSpaces>41979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Börjeson</dc:creator>
  <cp:lastModifiedBy>Eva Thorpenberg</cp:lastModifiedBy>
  <cp:revision>2</cp:revision>
  <cp:lastPrinted>2017-05-08T13:58:00Z</cp:lastPrinted>
  <dcterms:created xsi:type="dcterms:W3CDTF">2017-05-08T14:09:00Z</dcterms:created>
  <dcterms:modified xsi:type="dcterms:W3CDTF">2017-05-08T14:09:00Z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id="gSQsmwaI"/&gt;&lt;style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