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9F2" w:rsidRDefault="00B879F2" w:rsidP="00B879F2">
      <w:pPr>
        <w:pStyle w:val="Rubrik"/>
        <w:rPr>
          <w:sz w:val="44"/>
          <w:szCs w:val="44"/>
        </w:rPr>
      </w:pPr>
      <w:r>
        <w:rPr>
          <w:sz w:val="44"/>
          <w:szCs w:val="44"/>
        </w:rPr>
        <w:t>Utredning av kvartsdamm i golvavjämningsprodukter</w:t>
      </w:r>
    </w:p>
    <w:p w:rsidR="00A20D6B" w:rsidRPr="00A20D6B" w:rsidRDefault="00A20D6B" w:rsidP="00A20D6B"/>
    <w:p w:rsidR="00B879F2" w:rsidRDefault="00B879F2" w:rsidP="00B879F2">
      <w:pPr>
        <w:spacing w:after="120" w:line="240" w:lineRule="auto"/>
        <w:rPr>
          <w:rFonts w:ascii="Cambria" w:hAnsi="Cambria"/>
        </w:rPr>
      </w:pPr>
      <w:r>
        <w:rPr>
          <w:rFonts w:ascii="Cambria" w:hAnsi="Cambria"/>
        </w:rPr>
        <w:t xml:space="preserve">Frågan aktualiserades i samband med Arbetsmiljöverkets uppdaterade föreskrifter kring hantering av kvartsdamm. Vid tillsyn hos golventreprenörer efterfrågade Arbetsmiljöverket kontroll av exponering för kvartsdamm vid bland annat hantering av golvavjämning. Golvavjämningsprodukter innehåller sand (kristallin kvarts, kiseldioxid) och en del av detta kan vara i </w:t>
      </w:r>
      <w:proofErr w:type="spellStart"/>
      <w:r>
        <w:rPr>
          <w:rFonts w:ascii="Cambria" w:hAnsi="Cambria"/>
        </w:rPr>
        <w:t>respirabla</w:t>
      </w:r>
      <w:proofErr w:type="spellEnd"/>
      <w:r>
        <w:rPr>
          <w:rFonts w:ascii="Cambria" w:hAnsi="Cambria"/>
        </w:rPr>
        <w:t xml:space="preserve"> partikelstorlekar. </w:t>
      </w:r>
    </w:p>
    <w:p w:rsidR="00B879F2" w:rsidRDefault="00B879F2" w:rsidP="00B879F2">
      <w:pPr>
        <w:pStyle w:val="Rubrik2"/>
      </w:pPr>
      <w:r>
        <w:rPr>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123825</wp:posOffset>
                </wp:positionV>
                <wp:extent cx="2905760" cy="2533015"/>
                <wp:effectExtent l="0" t="0" r="19685" b="27305"/>
                <wp:wrapSquare wrapText="bothSides"/>
                <wp:docPr id="217" name="Textruta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712720"/>
                        </a:xfrm>
                        <a:prstGeom prst="rect">
                          <a:avLst/>
                        </a:prstGeom>
                        <a:solidFill>
                          <a:srgbClr val="FFFFFF"/>
                        </a:solidFill>
                        <a:ln w="9525">
                          <a:solidFill>
                            <a:srgbClr val="000000"/>
                          </a:solidFill>
                          <a:miter lim="800000"/>
                          <a:headEnd/>
                          <a:tailEnd/>
                        </a:ln>
                      </wps:spPr>
                      <wps:txbx>
                        <w:txbxContent>
                          <w:p w:rsidR="00B879F2" w:rsidRDefault="00B879F2" w:rsidP="00B879F2">
                            <w:pPr>
                              <w:pStyle w:val="Rubrik2"/>
                              <w:rPr>
                                <w:rFonts w:asciiTheme="minorHAnsi" w:hAnsiTheme="minorHAnsi"/>
                                <w:b/>
                                <w:sz w:val="22"/>
                                <w:szCs w:val="22"/>
                              </w:rPr>
                            </w:pPr>
                            <w:r>
                              <w:rPr>
                                <w:rFonts w:asciiTheme="minorHAnsi" w:hAnsiTheme="minorHAnsi"/>
                                <w:b/>
                                <w:sz w:val="22"/>
                                <w:szCs w:val="22"/>
                              </w:rPr>
                              <w:t>Faktaruta</w:t>
                            </w:r>
                          </w:p>
                          <w:p w:rsidR="00B879F2" w:rsidRDefault="00B879F2" w:rsidP="00B879F2">
                            <w:pPr>
                              <w:spacing w:after="120" w:line="240" w:lineRule="auto"/>
                            </w:pPr>
                            <w:r>
                              <w:rPr>
                                <w:b/>
                              </w:rPr>
                              <w:t>Nivågränsvärde</w:t>
                            </w:r>
                            <w:r>
                              <w:t xml:space="preserve"> är </w:t>
                            </w:r>
                            <w:bookmarkStart w:id="0" w:name="_Hlk506453639"/>
                            <w:r>
                              <w:t>gränsvärdet för exponering under en arbetsdag, normalt 8 timmar</w:t>
                            </w:r>
                            <w:bookmarkEnd w:id="0"/>
                            <w:r>
                              <w:t>. Nivågränsvärden är bindande och får inte överskridas.</w:t>
                            </w:r>
                          </w:p>
                          <w:p w:rsidR="00B879F2" w:rsidRDefault="00B879F2" w:rsidP="00B879F2">
                            <w:pPr>
                              <w:spacing w:after="120" w:line="240" w:lineRule="auto"/>
                            </w:pPr>
                            <w:r>
                              <w:t xml:space="preserve">Med </w:t>
                            </w:r>
                            <w:r>
                              <w:rPr>
                                <w:b/>
                              </w:rPr>
                              <w:t>inhalerbart</w:t>
                            </w:r>
                            <w:r>
                              <w:t xml:space="preserve"> damm menas den del av partiklarna i luften, som man andas in genom näsa och mun.</w:t>
                            </w:r>
                          </w:p>
                          <w:p w:rsidR="00B879F2" w:rsidRDefault="00B879F2" w:rsidP="00B879F2">
                            <w:pPr>
                              <w:spacing w:after="120" w:line="240" w:lineRule="auto"/>
                            </w:pPr>
                            <w:proofErr w:type="spellStart"/>
                            <w:r>
                              <w:rPr>
                                <w:b/>
                              </w:rPr>
                              <w:t>Respirabelt</w:t>
                            </w:r>
                            <w:proofErr w:type="spellEnd"/>
                            <w:r>
                              <w:t xml:space="preserve"> damm är en del av det inhalerbara dammet. Det är de allra minsta inhalerbara partiklarna, som når längst ner i lungorna – till alveolerna. De är mest skadliga.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ruta 217" o:spid="_x0000_s1026" type="#_x0000_t202" style="position:absolute;margin-left:177.6pt;margin-top:9.75pt;width:228.8pt;height:199.45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">
                <v:textbox style="mso-fit-shape-to-text:t">
                  <w:txbxContent>
                    <w:p w:rsidR="00B879F2" w:rsidRDefault="00B879F2" w:rsidP="00B879F2">
                      <w:pPr>
                        <w:pStyle w:val="Rubrik2"/>
                        <w:rPr>
                          <w:rFonts w:asciiTheme="minorHAnsi" w:hAnsiTheme="minorHAnsi"/>
                          <w:b/>
                          <w:sz w:val="22"/>
                          <w:szCs w:val="22"/>
                        </w:rPr>
                      </w:pPr>
                      <w:r>
                        <w:rPr>
                          <w:rFonts w:asciiTheme="minorHAnsi" w:hAnsiTheme="minorHAnsi"/>
                          <w:b/>
                          <w:sz w:val="22"/>
                          <w:szCs w:val="22"/>
                        </w:rPr>
                        <w:t>Faktaruta</w:t>
                      </w:r>
                    </w:p>
                    <w:p w:rsidR="00B879F2" w:rsidRDefault="00B879F2" w:rsidP="00B879F2">
                      <w:pPr>
                        <w:spacing w:after="120" w:line="240" w:lineRule="auto"/>
                      </w:pPr>
                      <w:r>
                        <w:rPr>
                          <w:b/>
                        </w:rPr>
                        <w:t>Nivågränsvärde</w:t>
                      </w:r>
                      <w:r>
                        <w:t xml:space="preserve"> är </w:t>
                      </w:r>
                      <w:bookmarkStart w:id="1" w:name="_Hlk506453639"/>
                      <w:r>
                        <w:t>gränsvärdet för exponering under en arbetsdag, normalt 8 timmar</w:t>
                      </w:r>
                      <w:bookmarkEnd w:id="1"/>
                      <w:r>
                        <w:t>. Nivågränsvärden är bindande och får inte överskridas.</w:t>
                      </w:r>
                    </w:p>
                    <w:p w:rsidR="00B879F2" w:rsidRDefault="00B879F2" w:rsidP="00B879F2">
                      <w:pPr>
                        <w:spacing w:after="120" w:line="240" w:lineRule="auto"/>
                      </w:pPr>
                      <w:r>
                        <w:t xml:space="preserve">Med </w:t>
                      </w:r>
                      <w:r>
                        <w:rPr>
                          <w:b/>
                        </w:rPr>
                        <w:t>inhalerbart</w:t>
                      </w:r>
                      <w:r>
                        <w:t xml:space="preserve"> damm menas den del av partiklarna i luften, som man andas in genom näsa och mun.</w:t>
                      </w:r>
                    </w:p>
                    <w:p w:rsidR="00B879F2" w:rsidRDefault="00B879F2" w:rsidP="00B879F2">
                      <w:pPr>
                        <w:spacing w:after="120" w:line="240" w:lineRule="auto"/>
                      </w:pPr>
                      <w:proofErr w:type="spellStart"/>
                      <w:r>
                        <w:rPr>
                          <w:b/>
                        </w:rPr>
                        <w:t>Respirabelt</w:t>
                      </w:r>
                      <w:proofErr w:type="spellEnd"/>
                      <w:r>
                        <w:t xml:space="preserve"> damm är en del av det inhalerbara dammet. Det är de allra minsta inhalerbara partiklarna, som når längst ner i lungorna – till alveolerna. De är mest skadliga.</w:t>
                      </w:r>
                    </w:p>
                  </w:txbxContent>
                </v:textbox>
                <w10:wrap type="square" anchorx="margin"/>
              </v:shape>
            </w:pict>
          </mc:Fallback>
        </mc:AlternateContent>
      </w:r>
      <w:r>
        <w:t xml:space="preserve">Undersökning av exponering vid knäckning av säck </w:t>
      </w:r>
    </w:p>
    <w:p w:rsidR="00B879F2" w:rsidRDefault="00B879F2" w:rsidP="00B879F2">
      <w:pPr>
        <w:spacing w:after="120" w:line="240" w:lineRule="auto"/>
        <w:rPr>
          <w:rFonts w:ascii="Cambria" w:hAnsi="Cambria"/>
          <w:strike/>
        </w:rPr>
      </w:pPr>
      <w:r>
        <w:rPr>
          <w:rFonts w:ascii="Cambria" w:hAnsi="Cambria"/>
        </w:rPr>
        <w:t>Tidigare undersökningar har visat att slipning och blandning av golvavjämning håller sig inom gränsvärdena, även om det ändå är viktigt att begränsa spridning av damm samt ha god ventilation och andningsskydd enligt säkerhetsdatablad. Däremot fanns ingen undersökning gjord för när säckar med torr golvavjämning hanteras ”knäcks” i en blandarmaskin. Golvbranschen, GBR beslutade därför att undersöka frågan. RISE (tidigare SP) fick i uppdrag att mäta exponeringen i syfte att jämföra med Arbetsmiljöverkets föreskrifter.</w:t>
      </w:r>
    </w:p>
    <w:p w:rsidR="00B879F2" w:rsidRDefault="00B879F2" w:rsidP="00B879F2">
      <w:pPr>
        <w:pStyle w:val="Rubrik2"/>
      </w:pPr>
      <w:r>
        <w:t>Så gick mätningen till</w:t>
      </w:r>
    </w:p>
    <w:p w:rsidR="00B879F2" w:rsidRDefault="00B879F2" w:rsidP="00B879F2">
      <w:pPr>
        <w:spacing w:after="120" w:line="240" w:lineRule="auto"/>
        <w:rPr>
          <w:rFonts w:ascii="Cambria" w:hAnsi="Cambria"/>
        </w:rPr>
      </w:pPr>
      <w:r>
        <w:rPr>
          <w:rFonts w:ascii="Cambria" w:hAnsi="Cambria"/>
        </w:rPr>
        <w:t xml:space="preserve">En vanligt förekommande icke </w:t>
      </w:r>
      <w:proofErr w:type="spellStart"/>
      <w:r>
        <w:rPr>
          <w:rFonts w:ascii="Cambria" w:hAnsi="Cambria"/>
        </w:rPr>
        <w:t>dammreducerad</w:t>
      </w:r>
      <w:proofErr w:type="spellEnd"/>
      <w:r>
        <w:rPr>
          <w:rFonts w:ascii="Cambria" w:hAnsi="Cambria"/>
        </w:rPr>
        <w:t xml:space="preserve"> golvavjämningsprodukt testades. Två operatörer/personer genomförde samma moment för att se eventuella individuella skillnader. De knäckte säck i blandare under ca 40 minuter vardera. Även hantering av tomsäckar inkluderas i mätningen. På axlarna hade de givare som mätte aktuell exponering. Viktigt att notera är att </w:t>
      </w:r>
      <w:bookmarkStart w:id="1" w:name="_Hlk501375194"/>
      <w:r>
        <w:rPr>
          <w:rFonts w:ascii="Cambria" w:hAnsi="Cambria"/>
        </w:rPr>
        <w:t xml:space="preserve">mätutrustningen var ”frilagd”, dvs personen hade andningsskydd, men inte mätinstrumenten. </w:t>
      </w:r>
      <w:bookmarkEnd w:id="1"/>
    </w:p>
    <w:p w:rsidR="00B879F2" w:rsidRDefault="00B879F2" w:rsidP="00B879F2">
      <w:pPr>
        <w:spacing w:after="120" w:line="240" w:lineRule="auto"/>
      </w:pPr>
      <w:r>
        <w:rPr>
          <w:rFonts w:ascii="Cambria" w:hAnsi="Cambria"/>
        </w:rPr>
        <w:t xml:space="preserve">Mätningen genomfördes inomhus i en oventilerad lokal, för att efterlikna ett ”värsta scenario”. Lokalen vädrades inte mellan mätningarna för operatör A och B. Blandarpumpen var försedd med utsug i huven kopplad till en separat stoftavskiljare för att minska </w:t>
      </w:r>
      <w:proofErr w:type="spellStart"/>
      <w:r>
        <w:rPr>
          <w:rFonts w:ascii="Cambria" w:hAnsi="Cambria"/>
        </w:rPr>
        <w:t>dammspridning</w:t>
      </w:r>
      <w:proofErr w:type="spellEnd"/>
      <w:r>
        <w:rPr>
          <w:rFonts w:ascii="Cambria" w:hAnsi="Cambria"/>
        </w:rPr>
        <w:t xml:space="preserve"> vid själva säcktömningen.</w:t>
      </w:r>
    </w:p>
    <w:p w:rsidR="00B879F2" w:rsidRDefault="00B879F2" w:rsidP="00B879F2">
      <w:pPr>
        <w:spacing w:after="120" w:line="240" w:lineRule="auto"/>
        <w:rPr>
          <w:rFonts w:ascii="Cambria" w:hAnsi="Cambria"/>
        </w:rPr>
      </w:pPr>
      <w:r>
        <w:rPr>
          <w:rFonts w:ascii="Cambria" w:hAnsi="Cambria"/>
        </w:rPr>
        <w:t>Under varje tidsperiod hanterades två pallar med 20 kg säckar, motsvarande 96 säckar och totalt 1920 kg material per mätning.</w:t>
      </w:r>
    </w:p>
    <w:p w:rsidR="00B879F2" w:rsidRDefault="00B879F2" w:rsidP="00B879F2">
      <w:pPr>
        <w:pStyle w:val="Rubrik2"/>
      </w:pPr>
      <w:r>
        <w:t>Mätresultat</w:t>
      </w:r>
    </w:p>
    <w:tbl>
      <w:tblPr>
        <w:tblStyle w:val="Rutntstabell6frgstarkdekorfrg3"/>
        <w:tblW w:w="0" w:type="auto"/>
        <w:tblInd w:w="0" w:type="dxa"/>
        <w:tblLayout w:type="fixed"/>
        <w:tblLook w:val="04A0" w:firstRow="1" w:lastRow="0" w:firstColumn="1" w:lastColumn="0" w:noHBand="0" w:noVBand="1"/>
      </w:tblPr>
      <w:tblGrid>
        <w:gridCol w:w="2130"/>
        <w:gridCol w:w="2130"/>
        <w:gridCol w:w="2130"/>
        <w:gridCol w:w="2130"/>
      </w:tblGrid>
      <w:tr w:rsidR="00B879F2" w:rsidTr="00B879F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rPr>
                <w:sz w:val="22"/>
                <w:szCs w:val="22"/>
              </w:rPr>
            </w:pPr>
            <w:r>
              <w:rPr>
                <w:b w:val="0"/>
                <w:bCs w:val="0"/>
                <w:sz w:val="22"/>
                <w:szCs w:val="22"/>
              </w:rPr>
              <w:t xml:space="preserve">Operatör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100000000000" w:firstRow="1" w:lastRow="0" w:firstColumn="0" w:lastColumn="0" w:oddVBand="0" w:evenVBand="0" w:oddHBand="0" w:evenHBand="0" w:firstRowFirstColumn="0" w:firstRowLastColumn="0" w:lastRowFirstColumn="0" w:lastRowLastColumn="0"/>
              <w:rPr>
                <w:sz w:val="22"/>
                <w:szCs w:val="22"/>
              </w:rPr>
            </w:pPr>
            <w:proofErr w:type="spellStart"/>
            <w:r>
              <w:rPr>
                <w:b w:val="0"/>
                <w:bCs w:val="0"/>
                <w:sz w:val="22"/>
                <w:szCs w:val="22"/>
              </w:rPr>
              <w:t>Respirabel</w:t>
            </w:r>
            <w:proofErr w:type="spellEnd"/>
            <w:r>
              <w:rPr>
                <w:b w:val="0"/>
                <w:bCs w:val="0"/>
                <w:sz w:val="22"/>
                <w:szCs w:val="22"/>
              </w:rPr>
              <w:t xml:space="preserve"> </w:t>
            </w:r>
          </w:p>
          <w:p w:rsidR="00B879F2" w:rsidRDefault="00B879F2">
            <w:pPr>
              <w:pStyle w:val="Default"/>
              <w:cnfStyle w:val="100000000000" w:firstRow="1" w:lastRow="0" w:firstColumn="0" w:lastColumn="0" w:oddVBand="0" w:evenVBand="0" w:oddHBand="0" w:evenHBand="0" w:firstRowFirstColumn="0" w:firstRowLastColumn="0" w:lastRowFirstColumn="0" w:lastRowLastColumn="0"/>
              <w:rPr>
                <w:sz w:val="22"/>
                <w:szCs w:val="22"/>
              </w:rPr>
            </w:pPr>
            <w:r>
              <w:rPr>
                <w:b w:val="0"/>
                <w:bCs w:val="0"/>
                <w:sz w:val="22"/>
                <w:szCs w:val="22"/>
              </w:rPr>
              <w:t xml:space="preserve">kvarts </w:t>
            </w:r>
          </w:p>
          <w:p w:rsidR="00B879F2" w:rsidRDefault="00B879F2">
            <w:pPr>
              <w:pStyle w:val="Default"/>
              <w:cnfStyle w:val="100000000000" w:firstRow="1" w:lastRow="0" w:firstColumn="0" w:lastColumn="0" w:oddVBand="0" w:evenVBand="0" w:oddHBand="0" w:evenHBand="0" w:firstRowFirstColumn="0" w:firstRowLastColumn="0" w:lastRowFirstColumn="0" w:lastRowLastColumn="0"/>
              <w:rPr>
                <w:sz w:val="22"/>
                <w:szCs w:val="22"/>
              </w:rPr>
            </w:pPr>
            <w:r>
              <w:rPr>
                <w:b w:val="0"/>
                <w:bCs w:val="0"/>
                <w:sz w:val="22"/>
                <w:szCs w:val="22"/>
              </w:rPr>
              <w:t xml:space="preserve">[mg/m3]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100000000000" w:firstRow="1" w:lastRow="0" w:firstColumn="0" w:lastColumn="0" w:oddVBand="0" w:evenVBand="0" w:oddHBand="0" w:evenHBand="0" w:firstRowFirstColumn="0" w:firstRowLastColumn="0" w:lastRowFirstColumn="0" w:lastRowLastColumn="0"/>
              <w:rPr>
                <w:sz w:val="22"/>
                <w:szCs w:val="22"/>
              </w:rPr>
            </w:pPr>
            <w:proofErr w:type="spellStart"/>
            <w:r>
              <w:rPr>
                <w:b w:val="0"/>
                <w:bCs w:val="0"/>
                <w:sz w:val="22"/>
                <w:szCs w:val="22"/>
              </w:rPr>
              <w:t>Respirabel</w:t>
            </w:r>
            <w:proofErr w:type="spellEnd"/>
            <w:r>
              <w:rPr>
                <w:b w:val="0"/>
                <w:bCs w:val="0"/>
                <w:sz w:val="22"/>
                <w:szCs w:val="22"/>
              </w:rPr>
              <w:t xml:space="preserve"> dammhalt </w:t>
            </w:r>
          </w:p>
          <w:p w:rsidR="00B879F2" w:rsidRDefault="00B879F2">
            <w:pPr>
              <w:pStyle w:val="Default"/>
              <w:cnfStyle w:val="100000000000" w:firstRow="1" w:lastRow="0" w:firstColumn="0" w:lastColumn="0" w:oddVBand="0" w:evenVBand="0" w:oddHBand="0" w:evenHBand="0" w:firstRowFirstColumn="0" w:firstRowLastColumn="0" w:lastRowFirstColumn="0" w:lastRowLastColumn="0"/>
              <w:rPr>
                <w:sz w:val="22"/>
                <w:szCs w:val="22"/>
              </w:rPr>
            </w:pPr>
            <w:r>
              <w:rPr>
                <w:b w:val="0"/>
                <w:bCs w:val="0"/>
                <w:sz w:val="22"/>
                <w:szCs w:val="22"/>
              </w:rPr>
              <w:t xml:space="preserve">[mg/m3]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100000000000" w:firstRow="1" w:lastRow="0" w:firstColumn="0" w:lastColumn="0" w:oddVBand="0" w:evenVBand="0" w:oddHBand="0" w:evenHBand="0" w:firstRowFirstColumn="0" w:firstRowLastColumn="0" w:lastRowFirstColumn="0" w:lastRowLastColumn="0"/>
              <w:rPr>
                <w:sz w:val="22"/>
                <w:szCs w:val="22"/>
              </w:rPr>
            </w:pPr>
            <w:r>
              <w:rPr>
                <w:b w:val="0"/>
                <w:bCs w:val="0"/>
                <w:sz w:val="22"/>
                <w:szCs w:val="22"/>
              </w:rPr>
              <w:t xml:space="preserve">Inhalerbar dammhalt </w:t>
            </w:r>
          </w:p>
          <w:p w:rsidR="00B879F2" w:rsidRDefault="00B879F2">
            <w:pPr>
              <w:pStyle w:val="Default"/>
              <w:cnfStyle w:val="100000000000" w:firstRow="1" w:lastRow="0" w:firstColumn="0" w:lastColumn="0" w:oddVBand="0" w:evenVBand="0" w:oddHBand="0" w:evenHBand="0" w:firstRowFirstColumn="0" w:firstRowLastColumn="0" w:lastRowFirstColumn="0" w:lastRowLastColumn="0"/>
              <w:rPr>
                <w:sz w:val="22"/>
                <w:szCs w:val="22"/>
              </w:rPr>
            </w:pPr>
            <w:r>
              <w:rPr>
                <w:b w:val="0"/>
                <w:bCs w:val="0"/>
                <w:sz w:val="22"/>
                <w:szCs w:val="22"/>
              </w:rPr>
              <w:t xml:space="preserve">[mg/m3] </w:t>
            </w:r>
          </w:p>
        </w:tc>
      </w:tr>
      <w:tr w:rsidR="00B879F2" w:rsidTr="00B879F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rPr>
                <w:sz w:val="22"/>
                <w:szCs w:val="22"/>
              </w:rPr>
            </w:pPr>
            <w:r>
              <w:rPr>
                <w:i/>
                <w:iCs/>
                <w:sz w:val="22"/>
                <w:szCs w:val="22"/>
              </w:rPr>
              <w:t xml:space="preserve">Bakgrundsmätning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i/>
                <w:iCs/>
                <w:sz w:val="22"/>
                <w:szCs w:val="22"/>
              </w:rPr>
              <w:t xml:space="preserve">&lt;0,01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i/>
                <w:iCs/>
                <w:sz w:val="22"/>
                <w:szCs w:val="22"/>
              </w:rPr>
              <w:t xml:space="preserve">&lt;0,5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i/>
                <w:iCs/>
                <w:sz w:val="22"/>
                <w:szCs w:val="22"/>
              </w:rPr>
              <w:t xml:space="preserve">&lt;3 </w:t>
            </w:r>
          </w:p>
        </w:tc>
      </w:tr>
      <w:tr w:rsidR="00B879F2" w:rsidTr="00B879F2">
        <w:trPr>
          <w:trHeight w:val="145"/>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rPr>
                <w:sz w:val="22"/>
                <w:szCs w:val="22"/>
              </w:rPr>
            </w:pPr>
            <w:r>
              <w:rPr>
                <w:sz w:val="22"/>
                <w:szCs w:val="22"/>
              </w:rPr>
              <w:t xml:space="preserve">A, vänster axel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0,06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1,11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7,8 </w:t>
            </w:r>
          </w:p>
        </w:tc>
      </w:tr>
      <w:tr w:rsidR="00B879F2" w:rsidTr="00B879F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rPr>
                <w:sz w:val="22"/>
                <w:szCs w:val="22"/>
              </w:rPr>
            </w:pPr>
            <w:r>
              <w:rPr>
                <w:sz w:val="22"/>
                <w:szCs w:val="22"/>
              </w:rPr>
              <w:t xml:space="preserve">A, höger axel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0,04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0,98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9,8 </w:t>
            </w:r>
          </w:p>
        </w:tc>
      </w:tr>
      <w:tr w:rsidR="00B879F2" w:rsidTr="00B879F2">
        <w:trPr>
          <w:trHeight w:val="146"/>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rPr>
                <w:sz w:val="22"/>
                <w:szCs w:val="22"/>
              </w:rPr>
            </w:pPr>
            <w:r>
              <w:rPr>
                <w:i/>
                <w:iCs/>
                <w:sz w:val="22"/>
                <w:szCs w:val="22"/>
              </w:rPr>
              <w:t xml:space="preserve">Medel, operatör A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i/>
                <w:iCs/>
                <w:sz w:val="22"/>
                <w:szCs w:val="22"/>
              </w:rPr>
              <w:t xml:space="preserve">0,05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i/>
                <w:iCs/>
                <w:sz w:val="22"/>
                <w:szCs w:val="22"/>
              </w:rPr>
              <w:t xml:space="preserve">1,05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i/>
                <w:iCs/>
                <w:sz w:val="22"/>
                <w:szCs w:val="22"/>
              </w:rPr>
              <w:t xml:space="preserve">8,8 </w:t>
            </w:r>
          </w:p>
        </w:tc>
      </w:tr>
      <w:tr w:rsidR="00B879F2" w:rsidTr="00B879F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rPr>
                <w:sz w:val="22"/>
                <w:szCs w:val="22"/>
              </w:rPr>
            </w:pPr>
            <w:r>
              <w:rPr>
                <w:sz w:val="22"/>
                <w:szCs w:val="22"/>
              </w:rPr>
              <w:t xml:space="preserve">B, vänster axel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0,11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1,44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15,4 </w:t>
            </w:r>
          </w:p>
        </w:tc>
      </w:tr>
      <w:tr w:rsidR="00B879F2" w:rsidTr="00B879F2">
        <w:trPr>
          <w:trHeight w:val="145"/>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rPr>
                <w:sz w:val="22"/>
                <w:szCs w:val="22"/>
              </w:rPr>
            </w:pPr>
            <w:r>
              <w:rPr>
                <w:sz w:val="22"/>
                <w:szCs w:val="22"/>
              </w:rPr>
              <w:t xml:space="preserve">B, höger axel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0,14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1,81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19,2 </w:t>
            </w:r>
          </w:p>
        </w:tc>
      </w:tr>
      <w:tr w:rsidR="00B879F2" w:rsidTr="00B879F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rPr>
                <w:sz w:val="22"/>
                <w:szCs w:val="22"/>
              </w:rPr>
            </w:pPr>
            <w:r>
              <w:rPr>
                <w:i/>
                <w:iCs/>
                <w:sz w:val="22"/>
                <w:szCs w:val="22"/>
              </w:rPr>
              <w:t xml:space="preserve">Medel, operatör B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i/>
                <w:iCs/>
                <w:sz w:val="22"/>
                <w:szCs w:val="22"/>
              </w:rPr>
              <w:t xml:space="preserve">0,13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i/>
                <w:iCs/>
                <w:sz w:val="22"/>
                <w:szCs w:val="22"/>
              </w:rPr>
              <w:t xml:space="preserve">1,63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i/>
                <w:iCs/>
                <w:sz w:val="22"/>
                <w:szCs w:val="22"/>
              </w:rPr>
              <w:t xml:space="preserve">17,3 </w:t>
            </w:r>
          </w:p>
        </w:tc>
      </w:tr>
      <w:tr w:rsidR="00B879F2" w:rsidTr="00B879F2">
        <w:trPr>
          <w:trHeight w:val="147"/>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rPr>
                <w:sz w:val="22"/>
                <w:szCs w:val="22"/>
              </w:rPr>
            </w:pPr>
            <w:r>
              <w:rPr>
                <w:b w:val="0"/>
                <w:bCs w:val="0"/>
                <w:sz w:val="22"/>
                <w:szCs w:val="22"/>
              </w:rPr>
              <w:t xml:space="preserve">Medelvärde alla 4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t xml:space="preserve">0,09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t xml:space="preserve">1,34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t xml:space="preserve">13 </w:t>
            </w:r>
          </w:p>
        </w:tc>
      </w:tr>
      <w:tr w:rsidR="00B879F2" w:rsidTr="00B879F2">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rPr>
                <w:sz w:val="22"/>
                <w:szCs w:val="22"/>
              </w:rPr>
            </w:pPr>
            <w:r>
              <w:rPr>
                <w:b w:val="0"/>
                <w:bCs w:val="0"/>
                <w:i/>
                <w:iCs/>
                <w:sz w:val="22"/>
                <w:szCs w:val="22"/>
              </w:rPr>
              <w:t xml:space="preserve">Nivågränsvärde *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b/>
                <w:bCs/>
                <w:i/>
                <w:iCs/>
                <w:sz w:val="22"/>
                <w:szCs w:val="22"/>
              </w:rPr>
              <w:t xml:space="preserve">0,1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b/>
                <w:bCs/>
                <w:i/>
                <w:iCs/>
                <w:sz w:val="22"/>
                <w:szCs w:val="22"/>
              </w:rPr>
              <w:t xml:space="preserve">5** </w:t>
            </w:r>
          </w:p>
        </w:tc>
        <w:tc>
          <w:tcPr>
            <w:tcW w:w="213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B879F2" w:rsidRDefault="00B879F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b/>
                <w:bCs/>
                <w:i/>
                <w:iCs/>
                <w:sz w:val="22"/>
                <w:szCs w:val="22"/>
              </w:rPr>
              <w:t xml:space="preserve">10** </w:t>
            </w:r>
          </w:p>
        </w:tc>
      </w:tr>
    </w:tbl>
    <w:p w:rsidR="00B879F2" w:rsidRDefault="00B879F2" w:rsidP="00B879F2">
      <w:pPr>
        <w:spacing w:after="120" w:line="240" w:lineRule="auto"/>
      </w:pPr>
    </w:p>
    <w:p w:rsidR="00B879F2" w:rsidRDefault="00B879F2" w:rsidP="00B879F2">
      <w:pPr>
        <w:pStyle w:val="Default"/>
        <w:rPr>
          <w:sz w:val="18"/>
          <w:szCs w:val="18"/>
        </w:rPr>
      </w:pPr>
      <w:r>
        <w:rPr>
          <w:sz w:val="22"/>
          <w:szCs w:val="22"/>
        </w:rPr>
        <w:lastRenderedPageBreak/>
        <w:t>*</w:t>
      </w:r>
      <w:r>
        <w:rPr>
          <w:sz w:val="18"/>
          <w:szCs w:val="18"/>
        </w:rPr>
        <w:t xml:space="preserve">”Nivågränsvärde” = Gränsvärde för exponering under en arbetsdag, normalt 8 timmar, enl. Arbetsmiljöverkets föreskrift AFS 2015:7; ”Hygieniska Gränsvärden” </w:t>
      </w:r>
    </w:p>
    <w:p w:rsidR="00B879F2" w:rsidRDefault="00B879F2" w:rsidP="00B879F2">
      <w:pPr>
        <w:spacing w:after="12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**avser ”oorganiskt damm” (för andra </w:t>
      </w:r>
      <w:proofErr w:type="spellStart"/>
      <w:r>
        <w:rPr>
          <w:rFonts w:ascii="Times New Roman" w:hAnsi="Times New Roman" w:cs="Times New Roman"/>
          <w:color w:val="000000"/>
          <w:sz w:val="18"/>
          <w:szCs w:val="18"/>
        </w:rPr>
        <w:t>dammtyper</w:t>
      </w:r>
      <w:proofErr w:type="spellEnd"/>
      <w:r>
        <w:rPr>
          <w:rFonts w:ascii="Times New Roman" w:hAnsi="Times New Roman" w:cs="Times New Roman"/>
          <w:color w:val="000000"/>
          <w:sz w:val="18"/>
          <w:szCs w:val="18"/>
        </w:rPr>
        <w:t xml:space="preserve"> finns andra gränsvärden)</w:t>
      </w:r>
    </w:p>
    <w:p w:rsidR="00B879F2" w:rsidRDefault="00B879F2" w:rsidP="00B879F2">
      <w:pPr>
        <w:pStyle w:val="Rubrik2"/>
      </w:pPr>
    </w:p>
    <w:p w:rsidR="00B879F2" w:rsidRDefault="00B879F2" w:rsidP="00B879F2">
      <w:pPr>
        <w:pStyle w:val="Rubrik2"/>
      </w:pPr>
      <w:r>
        <w:t>Kommentarer till mätning och resultat</w:t>
      </w:r>
    </w:p>
    <w:p w:rsidR="00B879F2" w:rsidRDefault="00B879F2" w:rsidP="00B879F2">
      <w:pPr>
        <w:rPr>
          <w:rFonts w:ascii="Cambria" w:hAnsi="Cambria"/>
        </w:rPr>
      </w:pPr>
      <w:r>
        <w:rPr>
          <w:rFonts w:ascii="Cambria" w:hAnsi="Cambria"/>
        </w:rPr>
        <w:t>Arbetssättet visade sig ha betydelse för exponeringen. Arbetet för operatör B upplevdes mer forcerat. Momentet när tomsäcken togs ut ur blandaren och lades åt sidan samt senare togs om hand misstänks vara huvudorsak till de högre halterna för denna operatör.</w:t>
      </w:r>
    </w:p>
    <w:p w:rsidR="00B879F2" w:rsidRDefault="00B879F2" w:rsidP="00B879F2">
      <w:pPr>
        <w:rPr>
          <w:rFonts w:ascii="Cambria" w:hAnsi="Cambria"/>
          <w:i/>
          <w:color w:val="C45911" w:themeColor="accent2" w:themeShade="BF"/>
        </w:rPr>
      </w:pPr>
      <w:r>
        <w:rPr>
          <w:rFonts w:ascii="Cambria" w:hAnsi="Cambria"/>
        </w:rPr>
        <w:t xml:space="preserve">Medelvärdet på kvartsexponeringen för alla fyra provtagningar blev 0,09 mg/m3, vilket kan jämföras med </w:t>
      </w:r>
      <w:bookmarkStart w:id="2" w:name="_Hlk501373851"/>
      <w:r>
        <w:rPr>
          <w:rFonts w:ascii="Cambria" w:hAnsi="Cambria"/>
        </w:rPr>
        <w:t>nivågränsvärdet på 0,1 mg/m3</w:t>
      </w:r>
      <w:bookmarkEnd w:id="2"/>
      <w:r>
        <w:rPr>
          <w:rFonts w:ascii="Cambria" w:hAnsi="Cambria"/>
        </w:rPr>
        <w:t xml:space="preserve">. Det ligger alltså i samma härad som gränsvärdet. </w:t>
      </w:r>
    </w:p>
    <w:p w:rsidR="00B879F2" w:rsidRDefault="00B879F2" w:rsidP="00B879F2">
      <w:pPr>
        <w:rPr>
          <w:rFonts w:ascii="Cambria" w:hAnsi="Cambria"/>
        </w:rPr>
      </w:pPr>
      <w:r>
        <w:rPr>
          <w:rFonts w:ascii="Cambria" w:hAnsi="Cambria"/>
        </w:rPr>
        <w:t xml:space="preserve">För det inhalerbara dammet låg värdet i nivå eller strax över det gränsvärde som gäller för ”oorganiskt damm” (10 mg/m3). Det </w:t>
      </w:r>
      <w:proofErr w:type="spellStart"/>
      <w:r>
        <w:rPr>
          <w:rFonts w:ascii="Cambria" w:hAnsi="Cambria"/>
        </w:rPr>
        <w:t>respirabla</w:t>
      </w:r>
      <w:proofErr w:type="spellEnd"/>
      <w:r>
        <w:rPr>
          <w:rFonts w:ascii="Cambria" w:hAnsi="Cambria"/>
        </w:rPr>
        <w:t xml:space="preserve"> dammet var klart under det aktuella gränsvärdet (5 mg/m3).</w:t>
      </w:r>
    </w:p>
    <w:p w:rsidR="00B879F2" w:rsidRDefault="00B879F2" w:rsidP="00B879F2">
      <w:pPr>
        <w:rPr>
          <w:rFonts w:ascii="Cambria" w:hAnsi="Cambria"/>
        </w:rPr>
      </w:pPr>
      <w:r>
        <w:rPr>
          <w:rFonts w:ascii="Cambria" w:hAnsi="Cambria"/>
        </w:rPr>
        <w:t xml:space="preserve">Återigen är det viktigt att notera att värdena avser exponering </w:t>
      </w:r>
      <w:r>
        <w:rPr>
          <w:rFonts w:ascii="Cambria" w:hAnsi="Cambria"/>
          <w:b/>
        </w:rPr>
        <w:t>utan</w:t>
      </w:r>
      <w:r>
        <w:rPr>
          <w:rFonts w:ascii="Cambria" w:hAnsi="Cambria"/>
        </w:rPr>
        <w:t xml:space="preserve"> ansiktsmask. En sådan skyddsåtgärd föreskrivs av produkttillverkaren och operatörerna använde filtermask under mätningarna.</w:t>
      </w:r>
    </w:p>
    <w:p w:rsidR="00B879F2" w:rsidRDefault="00B879F2" w:rsidP="00B879F2">
      <w:pPr>
        <w:spacing w:after="120" w:line="240" w:lineRule="auto"/>
        <w:ind w:left="360"/>
        <w:rPr>
          <w:rFonts w:ascii="Cambria" w:hAnsi="Cambria"/>
        </w:rPr>
      </w:pPr>
      <w:r>
        <w:rPr>
          <w:rFonts w:ascii="Cambria" w:hAnsi="Cambria"/>
          <w:i/>
        </w:rPr>
        <w:t>”</w:t>
      </w:r>
      <w:r>
        <w:rPr>
          <w:rFonts w:ascii="Cambria" w:hAnsi="Cambria"/>
          <w:b/>
          <w:i/>
        </w:rPr>
        <w:t>Sammanfattningsvis</w:t>
      </w:r>
      <w:r>
        <w:rPr>
          <w:rFonts w:ascii="Cambria" w:hAnsi="Cambria"/>
          <w:i/>
        </w:rPr>
        <w:t xml:space="preserve"> visar utförd mätning att arbetet med att knäcka säck i blandarmaskin med utsug kan utföras med låg kvartsexponering, så länge detta sker under del av arbetsdag och så länge rekommenderade åtgärder följs. Hur tomsäckar hanteras är också viktigt för kvartsexponeringen.”</w:t>
      </w:r>
      <w:r>
        <w:rPr>
          <w:rFonts w:ascii="Cambria" w:hAnsi="Cambria"/>
        </w:rPr>
        <w:t xml:space="preserve">  – Lars Rosell, ansvarig utredare från RISE</w:t>
      </w:r>
    </w:p>
    <w:p w:rsidR="00B879F2" w:rsidRDefault="00B879F2" w:rsidP="00B879F2">
      <w:pPr>
        <w:spacing w:after="120" w:line="240" w:lineRule="auto"/>
        <w:ind w:left="360"/>
        <w:rPr>
          <w:rFonts w:ascii="Cambria" w:hAnsi="Cambria"/>
        </w:rPr>
      </w:pPr>
    </w:p>
    <w:p w:rsidR="00B879F2" w:rsidRDefault="00B879F2" w:rsidP="00B879F2">
      <w:pPr>
        <w:pStyle w:val="Rubrik2"/>
      </w:pPr>
      <w:r>
        <w:t>Råd till golventreprenören</w:t>
      </w:r>
    </w:p>
    <w:p w:rsidR="00B879F2" w:rsidRDefault="00B879F2" w:rsidP="00B879F2">
      <w:pPr>
        <w:spacing w:after="120" w:line="240" w:lineRule="auto"/>
        <w:rPr>
          <w:rFonts w:ascii="Cambria" w:hAnsi="Cambria"/>
        </w:rPr>
      </w:pPr>
      <w:r>
        <w:rPr>
          <w:rFonts w:ascii="Cambria" w:hAnsi="Cambria"/>
        </w:rPr>
        <w:t>Vid hantering av dammande produkter såsom golvavjämning är det viktigt att tänka på följande:</w:t>
      </w:r>
    </w:p>
    <w:p w:rsidR="00B879F2" w:rsidRDefault="00B879F2" w:rsidP="00B879F2">
      <w:pPr>
        <w:pStyle w:val="Liststycke"/>
        <w:numPr>
          <w:ilvl w:val="0"/>
          <w:numId w:val="1"/>
        </w:numPr>
        <w:spacing w:after="120" w:line="240" w:lineRule="auto"/>
        <w:rPr>
          <w:rFonts w:ascii="Cambria" w:hAnsi="Cambria"/>
        </w:rPr>
      </w:pPr>
      <w:r>
        <w:rPr>
          <w:rFonts w:ascii="Cambria" w:hAnsi="Cambria"/>
        </w:rPr>
        <w:t xml:space="preserve">Begränsa spridning av damm t.ex. med </w:t>
      </w:r>
      <w:proofErr w:type="spellStart"/>
      <w:r>
        <w:rPr>
          <w:rFonts w:ascii="Cambria" w:hAnsi="Cambria"/>
        </w:rPr>
        <w:t>dammkåpa</w:t>
      </w:r>
      <w:proofErr w:type="spellEnd"/>
      <w:r>
        <w:rPr>
          <w:rFonts w:ascii="Cambria" w:hAnsi="Cambria"/>
        </w:rPr>
        <w:t xml:space="preserve"> och utsug.</w:t>
      </w:r>
    </w:p>
    <w:p w:rsidR="00B879F2" w:rsidRDefault="00B879F2" w:rsidP="00B879F2">
      <w:pPr>
        <w:pStyle w:val="Liststycke"/>
        <w:numPr>
          <w:ilvl w:val="0"/>
          <w:numId w:val="1"/>
        </w:numPr>
        <w:spacing w:after="120" w:line="240" w:lineRule="auto"/>
        <w:rPr>
          <w:rFonts w:ascii="Cambria" w:hAnsi="Cambria"/>
        </w:rPr>
      </w:pPr>
      <w:r>
        <w:rPr>
          <w:rFonts w:ascii="Cambria" w:hAnsi="Cambria"/>
        </w:rPr>
        <w:t xml:space="preserve">För att ytterligare minimera spridning av damm bör hantering ske med långsamma rörelser samt med låg fallhöjd. </w:t>
      </w:r>
    </w:p>
    <w:p w:rsidR="00B879F2" w:rsidRDefault="00B879F2" w:rsidP="00B879F2">
      <w:pPr>
        <w:pStyle w:val="Liststycke"/>
        <w:numPr>
          <w:ilvl w:val="0"/>
          <w:numId w:val="1"/>
        </w:numPr>
        <w:spacing w:after="120" w:line="240" w:lineRule="auto"/>
        <w:rPr>
          <w:rFonts w:ascii="Cambria" w:hAnsi="Cambria"/>
        </w:rPr>
      </w:pPr>
      <w:r>
        <w:rPr>
          <w:rFonts w:ascii="Cambria" w:hAnsi="Cambria"/>
        </w:rPr>
        <w:t xml:space="preserve">Placera avfallskärl nära för att hindra damm från att spridas vid tomsäckshantering. </w:t>
      </w:r>
    </w:p>
    <w:p w:rsidR="00B879F2" w:rsidRDefault="00B879F2" w:rsidP="00B879F2">
      <w:pPr>
        <w:pStyle w:val="Liststycke"/>
        <w:numPr>
          <w:ilvl w:val="0"/>
          <w:numId w:val="1"/>
        </w:numPr>
        <w:spacing w:after="120" w:line="240" w:lineRule="auto"/>
        <w:rPr>
          <w:rFonts w:ascii="Cambria" w:hAnsi="Cambria"/>
        </w:rPr>
      </w:pPr>
      <w:r>
        <w:rPr>
          <w:rFonts w:ascii="Cambria" w:hAnsi="Cambria"/>
        </w:rPr>
        <w:t>Om säckning sker utomhus ska pump placeras med vindriktning.</w:t>
      </w:r>
    </w:p>
    <w:p w:rsidR="00B879F2" w:rsidRDefault="00B879F2" w:rsidP="00B879F2">
      <w:pPr>
        <w:pStyle w:val="Liststycke"/>
        <w:numPr>
          <w:ilvl w:val="0"/>
          <w:numId w:val="1"/>
        </w:numPr>
        <w:spacing w:after="120" w:line="240" w:lineRule="auto"/>
        <w:rPr>
          <w:rFonts w:ascii="Cambria" w:hAnsi="Cambria"/>
        </w:rPr>
      </w:pPr>
      <w:r>
        <w:rPr>
          <w:rFonts w:ascii="Cambria" w:hAnsi="Cambria"/>
        </w:rPr>
        <w:t>Tillse god ventilation och avgränsa om möjligt för att skydda andra på arbetsplatsen.</w:t>
      </w:r>
    </w:p>
    <w:p w:rsidR="00B879F2" w:rsidRDefault="00B879F2" w:rsidP="00B879F2">
      <w:pPr>
        <w:pStyle w:val="Liststycke"/>
        <w:numPr>
          <w:ilvl w:val="0"/>
          <w:numId w:val="1"/>
        </w:numPr>
        <w:rPr>
          <w:rFonts w:ascii="Cambria" w:hAnsi="Cambria"/>
        </w:rPr>
      </w:pPr>
      <w:r>
        <w:rPr>
          <w:rFonts w:ascii="Cambria" w:hAnsi="Cambria"/>
        </w:rPr>
        <w:t>Instruktioner i aktuellt säkerhetsdatablad och produktinformation ska följas.</w:t>
      </w:r>
    </w:p>
    <w:p w:rsidR="00B879F2" w:rsidRDefault="00B879F2" w:rsidP="00B879F2">
      <w:pPr>
        <w:pStyle w:val="Liststycke"/>
        <w:numPr>
          <w:ilvl w:val="0"/>
          <w:numId w:val="1"/>
        </w:numPr>
        <w:spacing w:after="120" w:line="240" w:lineRule="auto"/>
        <w:rPr>
          <w:rFonts w:ascii="Cambria" w:hAnsi="Cambria"/>
        </w:rPr>
      </w:pPr>
      <w:r>
        <w:rPr>
          <w:rFonts w:ascii="Cambria" w:hAnsi="Cambria"/>
        </w:rPr>
        <w:t xml:space="preserve">Andningsskydd (klass P3), skyddshandskar, skyddsglasögon, skyddsskor och annan erforderlig skyddsutrustning ska användas. Se till att andningsskydd sluter tätt. </w:t>
      </w:r>
    </w:p>
    <w:p w:rsidR="00B879F2" w:rsidRDefault="00B879F2" w:rsidP="00B879F2">
      <w:pPr>
        <w:spacing w:after="120" w:line="240" w:lineRule="auto"/>
        <w:rPr>
          <w:rFonts w:ascii="Cambria" w:hAnsi="Cambria"/>
        </w:rPr>
      </w:pPr>
      <w:r>
        <w:rPr>
          <w:rFonts w:ascii="Cambria" w:hAnsi="Cambria"/>
        </w:rPr>
        <w:t xml:space="preserve">Använd gärna </w:t>
      </w:r>
      <w:hyperlink r:id="rId5" w:anchor="content-primary-offset" w:history="1">
        <w:proofErr w:type="gramStart"/>
        <w:r w:rsidRPr="00A20D6B">
          <w:rPr>
            <w:rStyle w:val="Hyperlnk"/>
            <w:rFonts w:ascii="Cambria" w:hAnsi="Cambria"/>
          </w:rPr>
          <w:t>GBRs</w:t>
        </w:r>
        <w:proofErr w:type="gramEnd"/>
        <w:r w:rsidRPr="00A20D6B">
          <w:rPr>
            <w:rStyle w:val="Hyperlnk"/>
            <w:rFonts w:ascii="Cambria" w:hAnsi="Cambria"/>
          </w:rPr>
          <w:t xml:space="preserve"> checklistor för arbetsmiljö</w:t>
        </w:r>
      </w:hyperlink>
      <w:r>
        <w:rPr>
          <w:rFonts w:ascii="Cambria" w:hAnsi="Cambria"/>
        </w:rPr>
        <w:t xml:space="preserve">, som bland annat tar hänsyn till ergonomi samt risk för exponering för kvartsdamm. </w:t>
      </w:r>
      <w:r w:rsidR="00A20D6B">
        <w:rPr>
          <w:rFonts w:ascii="Cambria" w:hAnsi="Cambria"/>
        </w:rPr>
        <w:t>Läs mer</w:t>
      </w:r>
      <w:r>
        <w:rPr>
          <w:rFonts w:ascii="Cambria" w:hAnsi="Cambria"/>
        </w:rPr>
        <w:t xml:space="preserve"> på golvbranschen.se. </w:t>
      </w:r>
    </w:p>
    <w:p w:rsidR="00B879F2" w:rsidRDefault="00B879F2" w:rsidP="00B879F2">
      <w:pPr>
        <w:spacing w:after="120" w:line="240" w:lineRule="auto"/>
      </w:pPr>
    </w:p>
    <w:p w:rsidR="00A20D6B" w:rsidRPr="00A20D6B" w:rsidRDefault="00A20D6B" w:rsidP="00B879F2">
      <w:pPr>
        <w:spacing w:after="120" w:line="240" w:lineRule="auto"/>
        <w:rPr>
          <w:i/>
        </w:rPr>
      </w:pPr>
      <w:r w:rsidRPr="00A20D6B">
        <w:rPr>
          <w:i/>
        </w:rPr>
        <w:t>Artikel publicerad i branschtidningen Golv till Tak, nr 2 2018.</w:t>
      </w:r>
      <w:bookmarkStart w:id="3" w:name="_GoBack"/>
      <w:bookmarkEnd w:id="3"/>
    </w:p>
    <w:p w:rsidR="00A20D6B" w:rsidRDefault="00B879F2" w:rsidP="00B879F2">
      <w:pPr>
        <w:spacing w:after="120" w:line="240" w:lineRule="auto"/>
      </w:pPr>
      <w:r>
        <w:rPr>
          <w:noProof/>
        </w:rPr>
        <w:lastRenderedPageBreak/>
        <w:drawing>
          <wp:inline distT="0" distB="0" distL="0" distR="0">
            <wp:extent cx="3886200" cy="3362325"/>
            <wp:effectExtent l="0" t="0" r="0"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6">
                      <a:extLst>
                        <a:ext uri="{28A0092B-C50C-407E-A947-70E740481C1C}">
                          <a14:useLocalDpi xmlns:a14="http://schemas.microsoft.com/office/drawing/2010/main" val="0"/>
                        </a:ext>
                      </a:extLst>
                    </a:blip>
                    <a:srcRect l="16858" r="6049"/>
                    <a:stretch>
                      <a:fillRect/>
                    </a:stretch>
                  </pic:blipFill>
                  <pic:spPr bwMode="auto">
                    <a:xfrm>
                      <a:off x="0" y="0"/>
                      <a:ext cx="3886200" cy="3362325"/>
                    </a:xfrm>
                    <a:prstGeom prst="rect">
                      <a:avLst/>
                    </a:prstGeom>
                    <a:noFill/>
                    <a:ln>
                      <a:noFill/>
                    </a:ln>
                  </pic:spPr>
                </pic:pic>
              </a:graphicData>
            </a:graphic>
          </wp:inline>
        </w:drawing>
      </w:r>
    </w:p>
    <w:p w:rsidR="00B879F2" w:rsidRDefault="00B879F2" w:rsidP="00B879F2">
      <w:pPr>
        <w:spacing w:after="120" w:line="240" w:lineRule="auto"/>
      </w:pPr>
      <w:r>
        <w:t>”Knäckningen” innebär att säcken läggs mot en vass kant inne i blandarens huv så att säcken går sönder och pulvret kan rinna ut i behållaren. Därefter tas tomsäcken ut och läggs vid sidan av blandaren.</w:t>
      </w:r>
    </w:p>
    <w:p w:rsidR="00B879F2" w:rsidRDefault="00B879F2" w:rsidP="00B879F2">
      <w:pPr>
        <w:spacing w:after="120" w:line="240" w:lineRule="auto"/>
      </w:pPr>
      <w:r>
        <w:rPr>
          <w:noProof/>
        </w:rPr>
        <w:drawing>
          <wp:inline distT="0" distB="0" distL="0" distR="0">
            <wp:extent cx="5057775" cy="338137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775" cy="3381375"/>
                    </a:xfrm>
                    <a:prstGeom prst="rect">
                      <a:avLst/>
                    </a:prstGeom>
                    <a:noFill/>
                    <a:ln>
                      <a:noFill/>
                    </a:ln>
                  </pic:spPr>
                </pic:pic>
              </a:graphicData>
            </a:graphic>
          </wp:inline>
        </w:drawing>
      </w:r>
    </w:p>
    <w:p w:rsidR="00B879F2" w:rsidRDefault="00B879F2" w:rsidP="00B879F2">
      <w:pPr>
        <w:spacing w:after="120" w:line="240" w:lineRule="auto"/>
      </w:pPr>
      <w:r>
        <w:t>Operatören hade filtermask (klass P3), medan mätutrustningen var ”frilagd”.</w:t>
      </w:r>
    </w:p>
    <w:p w:rsidR="00B773B9" w:rsidRDefault="00B773B9"/>
    <w:sectPr w:rsidR="00B773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380CB1"/>
    <w:multiLevelType w:val="hybridMultilevel"/>
    <w:tmpl w:val="0D106FA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9F2"/>
    <w:rsid w:val="00A20D6B"/>
    <w:rsid w:val="00B773B9"/>
    <w:rsid w:val="00B879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C8F34"/>
  <w15:chartTrackingRefBased/>
  <w15:docId w15:val="{75CA1C80-063D-4622-A3B4-B2099610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79F2"/>
    <w:pPr>
      <w:spacing w:line="256" w:lineRule="auto"/>
    </w:pPr>
  </w:style>
  <w:style w:type="paragraph" w:styleId="Rubrik2">
    <w:name w:val="heading 2"/>
    <w:basedOn w:val="Normal"/>
    <w:next w:val="Normal"/>
    <w:link w:val="Rubrik2Char"/>
    <w:uiPriority w:val="9"/>
    <w:semiHidden/>
    <w:unhideWhenUsed/>
    <w:qFormat/>
    <w:rsid w:val="00B879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semiHidden/>
    <w:rsid w:val="00B879F2"/>
    <w:rPr>
      <w:rFonts w:asciiTheme="majorHAnsi" w:eastAsiaTheme="majorEastAsia" w:hAnsiTheme="majorHAnsi" w:cstheme="majorBidi"/>
      <w:color w:val="2F5496" w:themeColor="accent1" w:themeShade="BF"/>
      <w:sz w:val="26"/>
      <w:szCs w:val="26"/>
    </w:rPr>
  </w:style>
  <w:style w:type="paragraph" w:styleId="Rubrik">
    <w:name w:val="Title"/>
    <w:basedOn w:val="Normal"/>
    <w:next w:val="Normal"/>
    <w:link w:val="RubrikChar"/>
    <w:uiPriority w:val="10"/>
    <w:qFormat/>
    <w:rsid w:val="00B879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B879F2"/>
    <w:rPr>
      <w:rFonts w:asciiTheme="majorHAnsi" w:eastAsiaTheme="majorEastAsia" w:hAnsiTheme="majorHAnsi" w:cstheme="majorBidi"/>
      <w:spacing w:val="-10"/>
      <w:kern w:val="28"/>
      <w:sz w:val="56"/>
      <w:szCs w:val="56"/>
    </w:rPr>
  </w:style>
  <w:style w:type="paragraph" w:styleId="Liststycke">
    <w:name w:val="List Paragraph"/>
    <w:basedOn w:val="Normal"/>
    <w:uiPriority w:val="34"/>
    <w:qFormat/>
    <w:rsid w:val="00B879F2"/>
    <w:pPr>
      <w:spacing w:line="254" w:lineRule="auto"/>
      <w:ind w:left="720"/>
      <w:contextualSpacing/>
    </w:pPr>
  </w:style>
  <w:style w:type="paragraph" w:customStyle="1" w:styleId="Default">
    <w:name w:val="Default"/>
    <w:rsid w:val="00B879F2"/>
    <w:pPr>
      <w:autoSpaceDE w:val="0"/>
      <w:autoSpaceDN w:val="0"/>
      <w:adjustRightInd w:val="0"/>
      <w:spacing w:after="0" w:line="240" w:lineRule="auto"/>
    </w:pPr>
    <w:rPr>
      <w:rFonts w:ascii="Times New Roman" w:hAnsi="Times New Roman" w:cs="Times New Roman"/>
      <w:color w:val="000000"/>
      <w:sz w:val="24"/>
      <w:szCs w:val="24"/>
    </w:rPr>
  </w:style>
  <w:style w:type="table" w:styleId="Rutntstabell6frgstarkdekorfrg3">
    <w:name w:val="Grid Table 6 Colorful Accent 3"/>
    <w:basedOn w:val="Normaltabell"/>
    <w:uiPriority w:val="51"/>
    <w:rsid w:val="00B879F2"/>
    <w:pPr>
      <w:spacing w:after="0" w:line="240" w:lineRule="auto"/>
    </w:pPr>
    <w:rPr>
      <w:color w:val="7B7B7B" w:themeColor="accent3" w:themeShade="BF"/>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nk">
    <w:name w:val="Hyperlink"/>
    <w:basedOn w:val="Standardstycketeckensnitt"/>
    <w:uiPriority w:val="99"/>
    <w:unhideWhenUsed/>
    <w:rsid w:val="00A20D6B"/>
    <w:rPr>
      <w:color w:val="0563C1" w:themeColor="hyperlink"/>
      <w:u w:val="single"/>
    </w:rPr>
  </w:style>
  <w:style w:type="character" w:styleId="Olstomnmnande">
    <w:name w:val="Unresolved Mention"/>
    <w:basedOn w:val="Standardstycketeckensnitt"/>
    <w:uiPriority w:val="99"/>
    <w:semiHidden/>
    <w:unhideWhenUsed/>
    <w:rsid w:val="00A20D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11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www.golvbranschen.se/vara-tjanster/arbetsmiljo/"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817</Words>
  <Characters>4334</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cp:keywords/>
  <dc:description/>
  <cp:lastModifiedBy>Marie</cp:lastModifiedBy>
  <cp:revision>2</cp:revision>
  <dcterms:created xsi:type="dcterms:W3CDTF">2018-03-27T08:20:00Z</dcterms:created>
  <dcterms:modified xsi:type="dcterms:W3CDTF">2018-03-27T09:20:00Z</dcterms:modified>
</cp:coreProperties>
</file>