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5CBCC" w14:textId="77777777" w:rsidR="00242BCE" w:rsidRPr="00344941" w:rsidRDefault="00242BCE" w:rsidP="00242BCE">
      <w:pPr>
        <w:jc w:val="both"/>
        <w:rPr>
          <w:sz w:val="18"/>
          <w:lang w:val="en-US"/>
        </w:rPr>
      </w:pPr>
    </w:p>
    <w:p w14:paraId="5E6818AA" w14:textId="0F07C0FB" w:rsidR="00242BCE" w:rsidRPr="002E5ABD" w:rsidRDefault="56DF8630" w:rsidP="56DF8630">
      <w:pPr>
        <w:spacing w:after="0" w:line="228" w:lineRule="auto"/>
        <w:jc w:val="both"/>
        <w:rPr>
          <w:rFonts w:ascii="Unna" w:hAnsi="Unna"/>
          <w:i/>
          <w:iCs/>
          <w:color w:val="070707" w:themeColor="text1"/>
          <w:sz w:val="28"/>
          <w:szCs w:val="28"/>
          <w:lang w:val="en-US"/>
        </w:rPr>
      </w:pPr>
      <w:bookmarkStart w:id="0" w:name="_GoBack"/>
      <w:r w:rsidRPr="56DF8630">
        <w:rPr>
          <w:rFonts w:ascii="Unna" w:hAnsi="Unna"/>
          <w:i/>
          <w:iCs/>
          <w:color w:val="070707" w:themeColor="text1"/>
          <w:sz w:val="28"/>
          <w:szCs w:val="28"/>
          <w:lang w:val="en-US"/>
        </w:rPr>
        <w:t>Embargo: Thursday 13 June 2019, 00:01 CEST</w:t>
      </w:r>
    </w:p>
    <w:p w14:paraId="5A871D81" w14:textId="77777777" w:rsidR="00242BCE" w:rsidRPr="002E5ABD" w:rsidRDefault="00242BCE" w:rsidP="00242BCE">
      <w:pPr>
        <w:spacing w:before="120" w:after="0" w:line="228" w:lineRule="auto"/>
        <w:rPr>
          <w:rFonts w:ascii="Unna" w:hAnsi="Unna"/>
          <w:b/>
          <w:color w:val="070707" w:themeColor="text1"/>
          <w:sz w:val="36"/>
          <w:lang w:val="en-US"/>
        </w:rPr>
      </w:pPr>
      <w:r w:rsidRPr="002E5ABD">
        <w:rPr>
          <w:rFonts w:ascii="Unna" w:hAnsi="Unna"/>
          <w:b/>
          <w:color w:val="070707" w:themeColor="text1"/>
          <w:sz w:val="36"/>
          <w:lang w:val="en-US"/>
        </w:rPr>
        <w:t xml:space="preserve">Fragrance </w:t>
      </w:r>
      <w:r>
        <w:rPr>
          <w:rFonts w:ascii="Unna" w:hAnsi="Unna"/>
          <w:b/>
          <w:color w:val="070707" w:themeColor="text1"/>
          <w:sz w:val="36"/>
          <w:lang w:val="en-US"/>
        </w:rPr>
        <w:t>makes the difference: new study highlights social and economic value of fragrance industry</w:t>
      </w:r>
    </w:p>
    <w:p w14:paraId="0C83BF59" w14:textId="77777777" w:rsidR="00242BCE" w:rsidRPr="002E5ABD" w:rsidRDefault="00242BCE" w:rsidP="00242BCE">
      <w:pPr>
        <w:spacing w:before="120" w:after="0" w:line="228" w:lineRule="auto"/>
        <w:jc w:val="both"/>
        <w:rPr>
          <w:rFonts w:ascii="Unna" w:hAnsi="Unna"/>
          <w:i/>
          <w:color w:val="070707" w:themeColor="text1"/>
          <w:sz w:val="28"/>
          <w:lang w:val="en-US"/>
        </w:rPr>
      </w:pPr>
      <w:r>
        <w:rPr>
          <w:rFonts w:ascii="Unna" w:hAnsi="Unna"/>
          <w:i/>
          <w:color w:val="070707" w:themeColor="text1"/>
          <w:sz w:val="28"/>
          <w:lang w:val="en-US"/>
        </w:rPr>
        <w:t xml:space="preserve">Report shows fragrance can boost value of consumer products by factor of ten </w:t>
      </w:r>
    </w:p>
    <w:p w14:paraId="355078DF" w14:textId="77777777" w:rsidR="00242BCE" w:rsidRPr="002E5ABD" w:rsidRDefault="00242BCE" w:rsidP="00242BCE">
      <w:pPr>
        <w:spacing w:after="0" w:line="216" w:lineRule="auto"/>
        <w:jc w:val="both"/>
        <w:rPr>
          <w:rFonts w:ascii="Muli" w:hAnsi="Muli"/>
          <w:b/>
          <w:u w:val="single"/>
          <w:lang w:val="en-US"/>
        </w:rPr>
      </w:pPr>
    </w:p>
    <w:p w14:paraId="6B39DE0C" w14:textId="77777777" w:rsidR="00242BCE" w:rsidRDefault="00242BCE" w:rsidP="00242BCE">
      <w:pPr>
        <w:spacing w:before="120" w:after="0" w:line="223" w:lineRule="auto"/>
        <w:jc w:val="both"/>
        <w:rPr>
          <w:rFonts w:ascii="Muli" w:hAnsi="Muli"/>
          <w:color w:val="070707" w:themeColor="text1"/>
          <w:sz w:val="20"/>
          <w:szCs w:val="20"/>
          <w:lang w:val="en-US"/>
        </w:rPr>
      </w:pPr>
      <w:r w:rsidRPr="310A8F1C">
        <w:rPr>
          <w:rFonts w:ascii="Muli" w:eastAsia="Calibri" w:hAnsi="Muli"/>
          <w:b/>
          <w:bCs/>
          <w:noProof/>
          <w:color w:val="070707" w:themeColor="text1"/>
          <w:sz w:val="20"/>
          <w:szCs w:val="20"/>
          <w:lang w:val="en-US"/>
        </w:rPr>
        <w:t>Mexico City, 13 June 2019</w:t>
      </w:r>
      <w:r w:rsidRPr="310A8F1C">
        <w:rPr>
          <w:rFonts w:ascii="Muli" w:hAnsi="Muli"/>
          <w:color w:val="070707" w:themeColor="text1"/>
          <w:sz w:val="20"/>
          <w:szCs w:val="20"/>
          <w:lang w:val="en-US"/>
        </w:rPr>
        <w:t xml:space="preserve"> – Fragrance boosts the value of consumer goods such as perfumes, cosmetics and cleaning products by up to ten times, according to a global report published today.</w:t>
      </w:r>
    </w:p>
    <w:p w14:paraId="260866CD" w14:textId="77777777" w:rsidR="00242BCE" w:rsidRDefault="00242BCE" w:rsidP="00242BCE">
      <w:pPr>
        <w:spacing w:before="120" w:after="0" w:line="223" w:lineRule="auto"/>
        <w:jc w:val="both"/>
        <w:rPr>
          <w:rFonts w:ascii="Muli" w:hAnsi="Muli" w:cstheme="minorHAnsi"/>
          <w:color w:val="070707" w:themeColor="text1"/>
          <w:sz w:val="20"/>
          <w:szCs w:val="20"/>
          <w:lang w:val="en-US"/>
        </w:rPr>
      </w:pPr>
      <w:r w:rsidRPr="005F70CC">
        <w:rPr>
          <w:rFonts w:ascii="Muli SemiBold" w:hAnsi="Muli SemiBold" w:cstheme="minorHAnsi"/>
          <w:color w:val="070707" w:themeColor="text1"/>
          <w:sz w:val="20"/>
          <w:szCs w:val="20"/>
          <w:lang w:val="en-US"/>
        </w:rPr>
        <w:t>‘The Value of Fragrance’</w:t>
      </w:r>
      <w:r>
        <w:rPr>
          <w:rFonts w:ascii="Muli" w:hAnsi="Muli" w:cstheme="minorHAnsi"/>
          <w:color w:val="070707" w:themeColor="text1"/>
          <w:sz w:val="20"/>
          <w:szCs w:val="20"/>
          <w:lang w:val="en-US"/>
        </w:rPr>
        <w:t xml:space="preserve"> – a study conducted by professional services firm PwC on behalf of The International Fragrance Association (IFRA) – shows that the manufacturing of fragrance ingredients alone adds €7.2bn to the economy and is responsible for b</w:t>
      </w:r>
      <w:r w:rsidRPr="00115267">
        <w:rPr>
          <w:rFonts w:ascii="Muli" w:hAnsi="Muli" w:cstheme="minorHAnsi"/>
          <w:color w:val="070707" w:themeColor="text1"/>
          <w:sz w:val="20"/>
          <w:szCs w:val="20"/>
          <w:lang w:val="en-US"/>
        </w:rPr>
        <w:t xml:space="preserve">etween </w:t>
      </w:r>
      <w:r w:rsidRPr="00115267">
        <w:rPr>
          <w:rFonts w:ascii="Muli" w:hAnsi="Muli" w:cs="Muli"/>
          <w:color w:val="070707" w:themeColor="text1"/>
          <w:sz w:val="20"/>
          <w:szCs w:val="20"/>
          <w:lang w:val="en-US"/>
        </w:rPr>
        <w:t>€</w:t>
      </w:r>
      <w:r w:rsidRPr="00115267">
        <w:rPr>
          <w:rFonts w:ascii="Muli" w:hAnsi="Muli" w:cstheme="minorHAnsi"/>
          <w:color w:val="070707" w:themeColor="text1"/>
          <w:sz w:val="20"/>
          <w:szCs w:val="20"/>
          <w:lang w:val="en-US"/>
        </w:rPr>
        <w:t xml:space="preserve">48bn and </w:t>
      </w:r>
      <w:r w:rsidRPr="00115267">
        <w:rPr>
          <w:rFonts w:ascii="Muli" w:hAnsi="Muli" w:cs="Muli"/>
          <w:color w:val="070707" w:themeColor="text1"/>
          <w:sz w:val="20"/>
          <w:szCs w:val="20"/>
          <w:lang w:val="en-US"/>
        </w:rPr>
        <w:t>€</w:t>
      </w:r>
      <w:r w:rsidRPr="00115267">
        <w:rPr>
          <w:rFonts w:ascii="Muli" w:hAnsi="Muli" w:cstheme="minorHAnsi"/>
          <w:color w:val="070707" w:themeColor="text1"/>
          <w:sz w:val="20"/>
          <w:szCs w:val="20"/>
          <w:lang w:val="en-US"/>
        </w:rPr>
        <w:t>72bn in Value Added for 25 consumer product categories</w:t>
      </w:r>
      <w:r>
        <w:rPr>
          <w:rFonts w:ascii="Muli" w:hAnsi="Muli" w:cstheme="minorHAnsi"/>
          <w:color w:val="070707" w:themeColor="text1"/>
          <w:sz w:val="20"/>
          <w:szCs w:val="20"/>
          <w:lang w:val="en-US"/>
        </w:rPr>
        <w:t>.</w:t>
      </w:r>
    </w:p>
    <w:p w14:paraId="2B5C8471" w14:textId="77777777" w:rsidR="00242BCE" w:rsidRPr="00801990" w:rsidRDefault="00242BCE" w:rsidP="00242BCE">
      <w:pPr>
        <w:spacing w:before="120" w:after="0" w:line="223" w:lineRule="auto"/>
        <w:jc w:val="both"/>
        <w:rPr>
          <w:rFonts w:ascii="Muli" w:hAnsi="Muli" w:cstheme="minorHAnsi"/>
          <w:color w:val="070707" w:themeColor="text1"/>
          <w:sz w:val="20"/>
          <w:szCs w:val="20"/>
          <w:lang w:val="en-US"/>
        </w:rPr>
      </w:pPr>
      <w:r>
        <w:rPr>
          <w:rFonts w:ascii="Muli" w:hAnsi="Muli" w:cstheme="minorHAnsi"/>
          <w:color w:val="070707" w:themeColor="text1"/>
          <w:sz w:val="20"/>
          <w:szCs w:val="20"/>
          <w:lang w:val="en-US"/>
        </w:rPr>
        <w:t>According to the report, the fragrance industry generates sales worth €7.3bn in 2017, contributing to €357bn in global sales generated by consumer product manufacturing and retailing.</w:t>
      </w:r>
    </w:p>
    <w:p w14:paraId="17519ED9" w14:textId="42C74746" w:rsidR="00242BCE" w:rsidRPr="002E5ABD" w:rsidRDefault="00F73AB2" w:rsidP="00242BCE">
      <w:pPr>
        <w:spacing w:before="120" w:after="0" w:line="223" w:lineRule="auto"/>
        <w:jc w:val="both"/>
        <w:rPr>
          <w:rFonts w:ascii="Muli" w:hAnsi="Muli"/>
          <w:color w:val="070707" w:themeColor="text1"/>
          <w:sz w:val="20"/>
          <w:szCs w:val="20"/>
          <w:lang w:val="en-US"/>
        </w:rPr>
      </w:pPr>
      <w:r>
        <w:rPr>
          <w:rFonts w:ascii="Muli" w:hAnsi="Muli"/>
          <w:color w:val="070707" w:themeColor="text1"/>
          <w:sz w:val="20"/>
          <w:szCs w:val="20"/>
          <w:lang w:val="en-US"/>
        </w:rPr>
        <w:t>T</w:t>
      </w:r>
      <w:r w:rsidR="00242BCE" w:rsidRPr="310A8F1C">
        <w:rPr>
          <w:rFonts w:ascii="Muli" w:hAnsi="Muli"/>
          <w:color w:val="070707" w:themeColor="text1"/>
          <w:sz w:val="20"/>
          <w:szCs w:val="20"/>
          <w:lang w:val="en-US"/>
        </w:rPr>
        <w:t xml:space="preserve">he IFRA Chairman, </w:t>
      </w:r>
      <w:r w:rsidR="00242BCE" w:rsidRPr="310A8F1C">
        <w:rPr>
          <w:rFonts w:ascii="Muli" w:hAnsi="Muli"/>
          <w:b/>
          <w:bCs/>
          <w:color w:val="070707" w:themeColor="text1"/>
          <w:sz w:val="20"/>
          <w:szCs w:val="20"/>
          <w:lang w:val="en-US"/>
        </w:rPr>
        <w:t>Michael Carlos</w:t>
      </w:r>
      <w:r w:rsidR="00242BCE" w:rsidRPr="310A8F1C">
        <w:rPr>
          <w:rFonts w:ascii="Muli" w:hAnsi="Muli"/>
          <w:color w:val="070707" w:themeColor="text1"/>
          <w:sz w:val="20"/>
          <w:szCs w:val="20"/>
          <w:lang w:val="en-US"/>
        </w:rPr>
        <w:t>, said:</w:t>
      </w:r>
    </w:p>
    <w:p w14:paraId="31479C5C" w14:textId="77777777" w:rsidR="00242BCE" w:rsidRDefault="00242BCE" w:rsidP="00242BCE">
      <w:pPr>
        <w:spacing w:before="120" w:after="120" w:line="223" w:lineRule="auto"/>
        <w:ind w:left="567"/>
        <w:rPr>
          <w:rFonts w:ascii="Muli" w:hAnsi="Muli" w:cstheme="minorHAnsi"/>
          <w:i/>
          <w:iCs/>
          <w:color w:val="070707" w:themeColor="text1"/>
          <w:sz w:val="20"/>
          <w:szCs w:val="20"/>
        </w:rPr>
      </w:pPr>
      <w:r w:rsidRPr="002E5ABD">
        <w:rPr>
          <w:rFonts w:ascii="Muli" w:hAnsi="Muli" w:cstheme="minorHAnsi"/>
          <w:i/>
          <w:color w:val="070707" w:themeColor="text1"/>
          <w:sz w:val="20"/>
          <w:szCs w:val="20"/>
          <w:lang w:val="en-US"/>
        </w:rPr>
        <w:t>“</w:t>
      </w:r>
      <w:r w:rsidRPr="00115267">
        <w:rPr>
          <w:rFonts w:ascii="Muli" w:hAnsi="Muli" w:cstheme="minorHAnsi"/>
          <w:i/>
          <w:iCs/>
          <w:color w:val="070707" w:themeColor="text1"/>
          <w:sz w:val="20"/>
          <w:szCs w:val="20"/>
        </w:rPr>
        <w:t xml:space="preserve">The fragrance industry may be </w:t>
      </w:r>
      <w:r>
        <w:rPr>
          <w:rFonts w:ascii="Muli" w:hAnsi="Muli" w:cstheme="minorHAnsi"/>
          <w:i/>
          <w:iCs/>
          <w:color w:val="070707" w:themeColor="text1"/>
          <w:sz w:val="20"/>
          <w:szCs w:val="20"/>
        </w:rPr>
        <w:t xml:space="preserve">relatively </w:t>
      </w:r>
      <w:r w:rsidRPr="00115267">
        <w:rPr>
          <w:rFonts w:ascii="Muli" w:hAnsi="Muli" w:cstheme="minorHAnsi"/>
          <w:i/>
          <w:iCs/>
          <w:color w:val="070707" w:themeColor="text1"/>
          <w:sz w:val="20"/>
          <w:szCs w:val="20"/>
        </w:rPr>
        <w:t>small, but it makes a big impression</w:t>
      </w:r>
      <w:r>
        <w:rPr>
          <w:rFonts w:ascii="Muli" w:hAnsi="Muli" w:cstheme="minorHAnsi"/>
          <w:i/>
          <w:iCs/>
          <w:color w:val="070707" w:themeColor="text1"/>
          <w:sz w:val="20"/>
          <w:szCs w:val="20"/>
        </w:rPr>
        <w:t>. This report shows how we add significant economic value to our suppliers and customers, as well as consumers, for whom fragrance is a major factor in purchasing decisions.</w:t>
      </w:r>
    </w:p>
    <w:p w14:paraId="234651BC" w14:textId="77777777" w:rsidR="00242BCE" w:rsidRDefault="00242BCE" w:rsidP="00242BCE">
      <w:pPr>
        <w:spacing w:before="120" w:after="120" w:line="223" w:lineRule="auto"/>
        <w:ind w:left="567"/>
        <w:rPr>
          <w:rFonts w:ascii="Muli" w:hAnsi="Muli" w:cstheme="minorHAnsi"/>
          <w:i/>
          <w:iCs/>
          <w:color w:val="070707" w:themeColor="text1"/>
          <w:sz w:val="20"/>
          <w:szCs w:val="20"/>
        </w:rPr>
      </w:pPr>
      <w:r>
        <w:rPr>
          <w:rFonts w:ascii="Muli" w:hAnsi="Muli" w:cstheme="minorHAnsi"/>
          <w:i/>
          <w:iCs/>
          <w:color w:val="070707" w:themeColor="text1"/>
          <w:sz w:val="20"/>
          <w:szCs w:val="20"/>
        </w:rPr>
        <w:t>But the report also shows our social value: we support 26,000 highly skilled jobs in our industry, and nearly 400,000 jobs among our suppliers in more than 50 countries – helping to sustain and give back to communities around the world. Fragrance has the power to make the difference – in every sense.”</w:t>
      </w:r>
    </w:p>
    <w:p w14:paraId="5BBA6ABE" w14:textId="77777777" w:rsidR="00242BCE" w:rsidRDefault="00242BCE" w:rsidP="00242BCE">
      <w:pPr>
        <w:spacing w:before="120" w:after="0" w:line="223" w:lineRule="auto"/>
        <w:jc w:val="both"/>
        <w:rPr>
          <w:rFonts w:ascii="Muli" w:hAnsi="Muli" w:cstheme="minorHAnsi"/>
          <w:color w:val="070707" w:themeColor="text1"/>
          <w:sz w:val="20"/>
          <w:szCs w:val="20"/>
          <w:lang w:val="en-US"/>
        </w:rPr>
      </w:pPr>
      <w:r>
        <w:rPr>
          <w:rFonts w:ascii="Muli" w:hAnsi="Muli" w:cstheme="minorHAnsi"/>
          <w:color w:val="070707" w:themeColor="text1"/>
          <w:sz w:val="20"/>
          <w:szCs w:val="20"/>
          <w:lang w:val="en-US"/>
        </w:rPr>
        <w:t xml:space="preserve">As there is no public definition of the fragrance industry – and where it starts and ends - one of the innovations of the report is a mapping of the global and complex ‘fragrance value chain’. </w:t>
      </w:r>
    </w:p>
    <w:p w14:paraId="199DE5E0" w14:textId="77777777" w:rsidR="00242BCE" w:rsidRDefault="00242BCE" w:rsidP="00242BCE">
      <w:pPr>
        <w:spacing w:before="120" w:after="0" w:line="223" w:lineRule="auto"/>
        <w:jc w:val="both"/>
        <w:rPr>
          <w:rFonts w:ascii="Muli" w:hAnsi="Muli" w:cstheme="minorHAnsi"/>
          <w:color w:val="070707" w:themeColor="text1"/>
          <w:sz w:val="20"/>
          <w:szCs w:val="20"/>
          <w:lang w:val="en-US"/>
        </w:rPr>
      </w:pPr>
      <w:r>
        <w:rPr>
          <w:rFonts w:ascii="Muli" w:hAnsi="Muli" w:cstheme="minorHAnsi"/>
          <w:color w:val="070707" w:themeColor="text1"/>
          <w:sz w:val="20"/>
          <w:szCs w:val="20"/>
          <w:lang w:val="en-US"/>
        </w:rPr>
        <w:t xml:space="preserve">This chain begins with 3,000 suppliers of natural and synthetic raw materials, from smallholder farms to synthetics manufacturers. It continues with an innovative fragrance industry (represented globally by IFRA) that delivers ingredients for use in fine fragrance, cosmetics and personal care products, and household products and detergents. </w:t>
      </w:r>
    </w:p>
    <w:p w14:paraId="59887699" w14:textId="77777777" w:rsidR="00242BCE" w:rsidRDefault="00242BCE" w:rsidP="00242BCE">
      <w:pPr>
        <w:spacing w:before="120" w:after="0" w:line="223" w:lineRule="auto"/>
        <w:jc w:val="both"/>
        <w:rPr>
          <w:rFonts w:ascii="Muli" w:hAnsi="Muli" w:cstheme="minorHAnsi"/>
          <w:color w:val="070707" w:themeColor="text1"/>
          <w:sz w:val="20"/>
          <w:szCs w:val="20"/>
          <w:lang w:val="en-US"/>
        </w:rPr>
      </w:pPr>
      <w:r>
        <w:rPr>
          <w:rFonts w:ascii="Muli" w:hAnsi="Muli" w:cstheme="minorHAnsi"/>
          <w:color w:val="070707" w:themeColor="text1"/>
          <w:sz w:val="20"/>
          <w:szCs w:val="20"/>
          <w:lang w:val="en-US"/>
        </w:rPr>
        <w:t>Manufacturers of these products use a wide range of retail channels to bring them to consumers, meeting people’s emotional and functional needs.</w:t>
      </w:r>
    </w:p>
    <w:p w14:paraId="633ABC92" w14:textId="77777777" w:rsidR="00242BCE" w:rsidRPr="002E5ABD" w:rsidRDefault="00242BCE" w:rsidP="00242BCE">
      <w:pPr>
        <w:spacing w:before="200" w:after="0" w:line="223" w:lineRule="auto"/>
        <w:jc w:val="both"/>
        <w:rPr>
          <w:rFonts w:ascii="Muli" w:hAnsi="Muli" w:cstheme="minorHAnsi"/>
          <w:color w:val="070707" w:themeColor="text1"/>
          <w:sz w:val="20"/>
          <w:szCs w:val="20"/>
          <w:lang w:val="en-US"/>
        </w:rPr>
      </w:pPr>
      <w:r w:rsidRPr="002E5ABD">
        <w:rPr>
          <w:rFonts w:ascii="Muli" w:hAnsi="Muli" w:cstheme="minorHAnsi"/>
          <w:b/>
          <w:color w:val="070707" w:themeColor="text1"/>
          <w:sz w:val="20"/>
          <w:szCs w:val="20"/>
          <w:lang w:val="en-US"/>
        </w:rPr>
        <w:t>Martina Bianchini</w:t>
      </w:r>
      <w:r w:rsidRPr="002E5ABD">
        <w:rPr>
          <w:rFonts w:ascii="Muli" w:hAnsi="Muli" w:cstheme="minorHAnsi"/>
          <w:color w:val="070707" w:themeColor="text1"/>
          <w:sz w:val="20"/>
          <w:szCs w:val="20"/>
          <w:lang w:val="en-US"/>
        </w:rPr>
        <w:t xml:space="preserve">, the President of IFRA, </w:t>
      </w:r>
      <w:r>
        <w:rPr>
          <w:rFonts w:ascii="Muli" w:hAnsi="Muli" w:cstheme="minorHAnsi"/>
          <w:color w:val="070707" w:themeColor="text1"/>
          <w:sz w:val="20"/>
          <w:szCs w:val="20"/>
          <w:lang w:val="en-US"/>
        </w:rPr>
        <w:t>said</w:t>
      </w:r>
      <w:r w:rsidRPr="002E5ABD">
        <w:rPr>
          <w:rFonts w:ascii="Muli" w:hAnsi="Muli" w:cstheme="minorHAnsi"/>
          <w:color w:val="070707" w:themeColor="text1"/>
          <w:sz w:val="20"/>
          <w:szCs w:val="20"/>
          <w:lang w:val="en-US"/>
        </w:rPr>
        <w:t>:</w:t>
      </w:r>
    </w:p>
    <w:p w14:paraId="5F6129F1" w14:textId="77777777" w:rsidR="00242BCE" w:rsidRDefault="00242BCE" w:rsidP="00242BCE">
      <w:pPr>
        <w:spacing w:before="120" w:after="0" w:line="223" w:lineRule="auto"/>
        <w:ind w:left="567"/>
        <w:rPr>
          <w:rFonts w:ascii="Muli" w:hAnsi="Muli" w:cstheme="minorHAnsi"/>
          <w:i/>
          <w:sz w:val="20"/>
          <w:szCs w:val="20"/>
          <w:lang w:val="en-US"/>
        </w:rPr>
      </w:pPr>
      <w:r w:rsidRPr="002E5ABD">
        <w:rPr>
          <w:rFonts w:ascii="Muli" w:hAnsi="Muli" w:cstheme="minorHAnsi"/>
          <w:i/>
          <w:sz w:val="20"/>
          <w:szCs w:val="20"/>
          <w:lang w:val="en-US"/>
        </w:rPr>
        <w:t>“</w:t>
      </w:r>
      <w:r>
        <w:rPr>
          <w:rFonts w:ascii="Muli" w:hAnsi="Muli" w:cstheme="minorHAnsi"/>
          <w:i/>
          <w:sz w:val="20"/>
          <w:szCs w:val="20"/>
          <w:lang w:val="en-US"/>
        </w:rPr>
        <w:t xml:space="preserve">This report highlights how the fragrance industry is sophisticated, global and innovative. As an industry, we invest eight per cent of </w:t>
      </w:r>
      <w:r w:rsidRPr="00D769E7">
        <w:rPr>
          <w:rFonts w:ascii="Muli" w:hAnsi="Muli" w:cstheme="minorHAnsi"/>
          <w:i/>
          <w:sz w:val="20"/>
          <w:szCs w:val="20"/>
          <w:lang w:val="en-US"/>
        </w:rPr>
        <w:t>net sales in R&amp;</w:t>
      </w:r>
      <w:r>
        <w:rPr>
          <w:rFonts w:ascii="Muli" w:hAnsi="Muli" w:cstheme="minorHAnsi"/>
          <w:i/>
          <w:sz w:val="20"/>
          <w:szCs w:val="20"/>
          <w:lang w:val="en-US"/>
        </w:rPr>
        <w:t xml:space="preserve">D - </w:t>
      </w:r>
      <w:r w:rsidRPr="00D769E7">
        <w:rPr>
          <w:rFonts w:ascii="Muli" w:hAnsi="Muli" w:cstheme="minorHAnsi"/>
          <w:i/>
          <w:sz w:val="20"/>
          <w:szCs w:val="20"/>
          <w:lang w:val="en-US"/>
        </w:rPr>
        <w:t xml:space="preserve">higher than all sectors </w:t>
      </w:r>
      <w:r>
        <w:rPr>
          <w:rFonts w:ascii="Muli" w:hAnsi="Muli" w:cstheme="minorHAnsi"/>
          <w:i/>
          <w:sz w:val="20"/>
          <w:szCs w:val="20"/>
          <w:lang w:val="en-US"/>
        </w:rPr>
        <w:t xml:space="preserve">in the European Union </w:t>
      </w:r>
      <w:r w:rsidRPr="00D769E7">
        <w:rPr>
          <w:rFonts w:ascii="Muli" w:hAnsi="Muli" w:cstheme="minorHAnsi"/>
          <w:i/>
          <w:sz w:val="20"/>
          <w:szCs w:val="20"/>
          <w:lang w:val="en-US"/>
        </w:rPr>
        <w:t>other than pharmaceuticals and technology hardware</w:t>
      </w:r>
      <w:r>
        <w:rPr>
          <w:rFonts w:ascii="Muli" w:hAnsi="Muli" w:cstheme="minorHAnsi"/>
          <w:i/>
          <w:sz w:val="20"/>
          <w:szCs w:val="20"/>
          <w:lang w:val="en-US"/>
        </w:rPr>
        <w:t xml:space="preserve">. </w:t>
      </w:r>
    </w:p>
    <w:p w14:paraId="2D92FAE3" w14:textId="77777777" w:rsidR="00242BCE" w:rsidRPr="003C1EEF" w:rsidRDefault="00242BCE" w:rsidP="00242BCE">
      <w:pPr>
        <w:spacing w:before="120" w:after="240" w:line="223" w:lineRule="auto"/>
        <w:ind w:left="567"/>
        <w:rPr>
          <w:rFonts w:ascii="Muli" w:hAnsi="Muli" w:cstheme="minorHAnsi"/>
          <w:i/>
          <w:iCs/>
          <w:color w:val="070707" w:themeColor="text1"/>
          <w:sz w:val="20"/>
          <w:szCs w:val="20"/>
        </w:rPr>
      </w:pPr>
      <w:r w:rsidRPr="003C1EEF">
        <w:rPr>
          <w:rFonts w:ascii="Muli" w:hAnsi="Muli" w:cstheme="minorHAnsi"/>
          <w:i/>
          <w:iCs/>
          <w:color w:val="070707" w:themeColor="text1"/>
          <w:sz w:val="20"/>
          <w:szCs w:val="20"/>
        </w:rPr>
        <w:t>The Value Added per employee is €135,000 – higher than in the automotive sector and underlining how much talent and creativity we have in our industry.</w:t>
      </w:r>
      <w:r>
        <w:rPr>
          <w:rFonts w:ascii="Muli" w:hAnsi="Muli" w:cstheme="minorHAnsi"/>
          <w:i/>
          <w:iCs/>
          <w:color w:val="070707" w:themeColor="text1"/>
          <w:sz w:val="20"/>
          <w:szCs w:val="20"/>
        </w:rPr>
        <w:t>”</w:t>
      </w:r>
    </w:p>
    <w:p w14:paraId="7AAFA55C" w14:textId="77777777" w:rsidR="00242BCE" w:rsidRDefault="00242BCE" w:rsidP="00242BCE">
      <w:pPr>
        <w:spacing w:before="120" w:after="0" w:line="223" w:lineRule="auto"/>
        <w:jc w:val="both"/>
        <w:rPr>
          <w:rFonts w:ascii="Muli" w:hAnsi="Muli" w:cstheme="minorHAnsi"/>
          <w:color w:val="070707" w:themeColor="text1"/>
          <w:sz w:val="20"/>
          <w:szCs w:val="20"/>
          <w:lang w:val="en-US"/>
        </w:rPr>
      </w:pPr>
      <w:r>
        <w:rPr>
          <w:rFonts w:ascii="Muli" w:hAnsi="Muli" w:cstheme="minorHAnsi"/>
          <w:color w:val="070707" w:themeColor="text1"/>
          <w:sz w:val="20"/>
          <w:szCs w:val="20"/>
          <w:lang w:val="en-US"/>
        </w:rPr>
        <w:t xml:space="preserve">The report, which covers Europe, the Middle East and Africa, Asia-Pacific and Latin America, is based on data gathered and analyzed by PwC for the year 2017. To read the report and find out more, go to </w:t>
      </w:r>
      <w:r w:rsidRPr="003C1EEF">
        <w:rPr>
          <w:rFonts w:ascii="Muli SemiBold" w:hAnsi="Muli SemiBold" w:cstheme="minorHAnsi"/>
          <w:color w:val="070707" w:themeColor="text1"/>
          <w:sz w:val="20"/>
          <w:szCs w:val="20"/>
          <w:lang w:val="en-US"/>
        </w:rPr>
        <w:t>ifrafragrance.org/value</w:t>
      </w:r>
      <w:r>
        <w:rPr>
          <w:rFonts w:ascii="Muli" w:hAnsi="Muli" w:cstheme="minorHAnsi"/>
          <w:color w:val="070707" w:themeColor="text1"/>
          <w:sz w:val="20"/>
          <w:szCs w:val="20"/>
          <w:lang w:val="en-US"/>
        </w:rPr>
        <w:t xml:space="preserve"> or find us on social media (</w:t>
      </w:r>
      <w:r w:rsidRPr="003C1EEF">
        <w:rPr>
          <w:rFonts w:ascii="Muli SemiBold" w:hAnsi="Muli SemiBold" w:cstheme="minorHAnsi"/>
          <w:color w:val="070707" w:themeColor="text1"/>
          <w:sz w:val="20"/>
          <w:szCs w:val="20"/>
          <w:lang w:val="en-US"/>
        </w:rPr>
        <w:t>@</w:t>
      </w:r>
      <w:proofErr w:type="spellStart"/>
      <w:r w:rsidRPr="003C1EEF">
        <w:rPr>
          <w:rFonts w:ascii="Muli SemiBold" w:hAnsi="Muli SemiBold" w:cstheme="minorHAnsi"/>
          <w:color w:val="070707" w:themeColor="text1"/>
          <w:sz w:val="20"/>
          <w:szCs w:val="20"/>
          <w:lang w:val="en-US"/>
        </w:rPr>
        <w:t>ifrafragrance</w:t>
      </w:r>
      <w:proofErr w:type="spellEnd"/>
      <w:r>
        <w:rPr>
          <w:rFonts w:ascii="Muli" w:hAnsi="Muli" w:cstheme="minorHAnsi"/>
          <w:color w:val="070707" w:themeColor="text1"/>
          <w:sz w:val="20"/>
          <w:szCs w:val="20"/>
          <w:lang w:val="en-US"/>
        </w:rPr>
        <w:t>).</w:t>
      </w:r>
    </w:p>
    <w:p w14:paraId="3F67C4E4" w14:textId="77777777" w:rsidR="00242BCE" w:rsidRPr="002E5ABD" w:rsidRDefault="00242BCE" w:rsidP="00242BCE">
      <w:pPr>
        <w:spacing w:before="120" w:after="0" w:line="228" w:lineRule="auto"/>
        <w:ind w:left="567"/>
        <w:rPr>
          <w:rFonts w:ascii="Muli" w:hAnsi="Muli" w:cstheme="minorHAnsi"/>
          <w:i/>
          <w:sz w:val="20"/>
          <w:szCs w:val="20"/>
          <w:lang w:val="en-US"/>
        </w:rPr>
      </w:pPr>
    </w:p>
    <w:p w14:paraId="0AF92C15" w14:textId="77777777" w:rsidR="00242BCE" w:rsidRPr="002E5ABD" w:rsidRDefault="00242BCE" w:rsidP="00242BCE">
      <w:pPr>
        <w:pBdr>
          <w:bottom w:val="single" w:sz="4" w:space="1" w:color="auto"/>
        </w:pBdr>
        <w:spacing w:before="120" w:after="0" w:line="228" w:lineRule="auto"/>
        <w:jc w:val="both"/>
        <w:rPr>
          <w:rFonts w:ascii="Unna" w:hAnsi="Unna"/>
          <w:i/>
          <w:color w:val="070707" w:themeColor="text1"/>
          <w:sz w:val="28"/>
          <w:lang w:val="en-US"/>
        </w:rPr>
      </w:pPr>
      <w:r w:rsidRPr="002E5ABD">
        <w:rPr>
          <w:rFonts w:ascii="Unna" w:hAnsi="Unna"/>
          <w:i/>
          <w:color w:val="070707" w:themeColor="text1"/>
          <w:sz w:val="28"/>
          <w:lang w:val="en-US"/>
        </w:rPr>
        <w:t xml:space="preserve">About </w:t>
      </w:r>
      <w:proofErr w:type="gramStart"/>
      <w:r w:rsidRPr="002E5ABD">
        <w:rPr>
          <w:rFonts w:ascii="Unna" w:hAnsi="Unna"/>
          <w:i/>
          <w:color w:val="070707" w:themeColor="text1"/>
          <w:sz w:val="28"/>
          <w:lang w:val="en-US"/>
        </w:rPr>
        <w:t>The</w:t>
      </w:r>
      <w:proofErr w:type="gramEnd"/>
      <w:r w:rsidRPr="002E5ABD">
        <w:rPr>
          <w:rFonts w:ascii="Unna" w:hAnsi="Unna"/>
          <w:i/>
          <w:color w:val="070707" w:themeColor="text1"/>
          <w:sz w:val="28"/>
          <w:lang w:val="en-US"/>
        </w:rPr>
        <w:t xml:space="preserve"> International Fragrance Association (IFRA) </w:t>
      </w:r>
    </w:p>
    <w:p w14:paraId="141CDF86" w14:textId="77777777" w:rsidR="00242BCE" w:rsidRPr="002E5ABD" w:rsidRDefault="00242BCE" w:rsidP="00242BCE">
      <w:pPr>
        <w:spacing w:before="240" w:after="0" w:line="228" w:lineRule="auto"/>
        <w:jc w:val="both"/>
        <w:rPr>
          <w:rFonts w:ascii="Muli" w:hAnsi="Muli" w:cstheme="minorHAnsi"/>
          <w:bCs/>
          <w:sz w:val="20"/>
          <w:szCs w:val="20"/>
          <w:lang w:val="en-US"/>
        </w:rPr>
      </w:pPr>
      <w:r w:rsidRPr="002E5ABD">
        <w:rPr>
          <w:rFonts w:ascii="Muli" w:hAnsi="Muli" w:cstheme="minorHAnsi"/>
          <w:bCs/>
          <w:sz w:val="20"/>
          <w:szCs w:val="20"/>
          <w:lang w:val="en-US"/>
        </w:rPr>
        <w:t>The International Fragrance Association, founded in 1973, represents the interests of the fragrance industry worldwide. Comprising eight multinational companies, 21 national associations in four global regions representing hundreds of small and medium-sized fragrance ingredient manufacturers, and seven supporting members, IFRA’s membership covers approximately 90% of the industry</w:t>
      </w:r>
      <w:r>
        <w:rPr>
          <w:rFonts w:ascii="Muli" w:hAnsi="Muli" w:cstheme="minorHAnsi"/>
          <w:bCs/>
          <w:sz w:val="20"/>
          <w:szCs w:val="20"/>
          <w:lang w:val="en-US"/>
        </w:rPr>
        <w:t xml:space="preserve"> by production volume</w:t>
      </w:r>
      <w:r w:rsidRPr="002E5ABD">
        <w:rPr>
          <w:rFonts w:ascii="Muli" w:hAnsi="Muli" w:cstheme="minorHAnsi"/>
          <w:bCs/>
          <w:sz w:val="20"/>
          <w:szCs w:val="20"/>
          <w:lang w:val="en-US"/>
        </w:rPr>
        <w:t>.</w:t>
      </w:r>
    </w:p>
    <w:p w14:paraId="32B7CC81" w14:textId="77777777" w:rsidR="00242BCE" w:rsidRPr="002E5ABD" w:rsidRDefault="00242BCE" w:rsidP="00242BCE">
      <w:pPr>
        <w:spacing w:before="120" w:after="0" w:line="228" w:lineRule="auto"/>
        <w:jc w:val="both"/>
        <w:rPr>
          <w:rFonts w:ascii="Muli" w:hAnsi="Muli" w:cstheme="minorHAnsi"/>
          <w:bCs/>
          <w:sz w:val="20"/>
          <w:szCs w:val="20"/>
          <w:lang w:val="en-US"/>
        </w:rPr>
      </w:pPr>
      <w:r w:rsidRPr="002E5ABD">
        <w:rPr>
          <w:rFonts w:ascii="Muli" w:hAnsi="Muli" w:cstheme="minorHAnsi"/>
          <w:bCs/>
          <w:sz w:val="20"/>
          <w:szCs w:val="20"/>
          <w:lang w:val="en-US"/>
        </w:rPr>
        <w:t>Fragrances are a key platform technology used by consumer goods companies – for fine fragrances, personal care products, household care and more.</w:t>
      </w:r>
    </w:p>
    <w:p w14:paraId="502D4CE0" w14:textId="77777777" w:rsidR="00242BCE" w:rsidRPr="002E5ABD" w:rsidRDefault="00242BCE" w:rsidP="00242BCE">
      <w:pPr>
        <w:spacing w:before="120" w:after="0" w:line="228" w:lineRule="auto"/>
        <w:jc w:val="both"/>
        <w:rPr>
          <w:rFonts w:ascii="Muli" w:hAnsi="Muli" w:cstheme="minorHAnsi"/>
          <w:bCs/>
          <w:sz w:val="20"/>
          <w:szCs w:val="20"/>
          <w:lang w:val="en-US"/>
        </w:rPr>
      </w:pPr>
      <w:r w:rsidRPr="002E5ABD">
        <w:rPr>
          <w:rFonts w:ascii="Muli" w:hAnsi="Muli" w:cstheme="minorHAnsi"/>
          <w:bCs/>
          <w:sz w:val="20"/>
          <w:szCs w:val="20"/>
          <w:lang w:val="en-US"/>
        </w:rPr>
        <w:t xml:space="preserve">IFRA has a dual role as an advocate and a regulator. The IFRA </w:t>
      </w:r>
      <w:r>
        <w:rPr>
          <w:rFonts w:ascii="Muli" w:hAnsi="Muli" w:cstheme="minorHAnsi"/>
          <w:bCs/>
          <w:sz w:val="20"/>
          <w:szCs w:val="20"/>
          <w:lang w:val="en-US"/>
        </w:rPr>
        <w:t xml:space="preserve">Code of Practice is the industry’s flagship self-regulatory program and includes the IFRA </w:t>
      </w:r>
      <w:r w:rsidRPr="002E5ABD">
        <w:rPr>
          <w:rFonts w:ascii="Muli" w:hAnsi="Muli" w:cstheme="minorHAnsi"/>
          <w:bCs/>
          <w:sz w:val="20"/>
          <w:szCs w:val="20"/>
          <w:lang w:val="en-US"/>
        </w:rPr>
        <w:t>Standards</w:t>
      </w:r>
      <w:r>
        <w:rPr>
          <w:rFonts w:ascii="Muli" w:hAnsi="Muli" w:cstheme="minorHAnsi"/>
          <w:bCs/>
          <w:sz w:val="20"/>
          <w:szCs w:val="20"/>
          <w:lang w:val="en-US"/>
        </w:rPr>
        <w:t xml:space="preserve">, which </w:t>
      </w:r>
      <w:r w:rsidRPr="002E5ABD">
        <w:rPr>
          <w:rFonts w:ascii="Muli" w:hAnsi="Muli" w:cstheme="minorHAnsi"/>
          <w:bCs/>
          <w:sz w:val="20"/>
          <w:szCs w:val="20"/>
          <w:lang w:val="en-US"/>
        </w:rPr>
        <w:t>appl</w:t>
      </w:r>
      <w:r>
        <w:rPr>
          <w:rFonts w:ascii="Muli" w:hAnsi="Muli" w:cstheme="minorHAnsi"/>
          <w:bCs/>
          <w:sz w:val="20"/>
          <w:szCs w:val="20"/>
          <w:lang w:val="en-US"/>
        </w:rPr>
        <w:t>y</w:t>
      </w:r>
      <w:r w:rsidRPr="002E5ABD">
        <w:rPr>
          <w:rFonts w:ascii="Muli" w:hAnsi="Muli" w:cstheme="minorHAnsi"/>
          <w:bCs/>
          <w:sz w:val="20"/>
          <w:szCs w:val="20"/>
          <w:lang w:val="en-US"/>
        </w:rPr>
        <w:t xml:space="preserve"> safety management measures based on scientific assessment and the evaluations of an independent Expert Panel. The IFRA Standards </w:t>
      </w:r>
      <w:r>
        <w:rPr>
          <w:rFonts w:ascii="Muli" w:hAnsi="Muli" w:cstheme="minorHAnsi"/>
          <w:bCs/>
          <w:sz w:val="20"/>
          <w:szCs w:val="20"/>
          <w:lang w:val="en-US"/>
        </w:rPr>
        <w:t xml:space="preserve">highlight our commitment to the safe use and enjoyment of fragrance by </w:t>
      </w:r>
      <w:r w:rsidRPr="002E5ABD">
        <w:rPr>
          <w:rFonts w:ascii="Muli" w:hAnsi="Muli" w:cstheme="minorHAnsi"/>
          <w:bCs/>
          <w:sz w:val="20"/>
          <w:szCs w:val="20"/>
          <w:lang w:val="en-US"/>
        </w:rPr>
        <w:t>billions of people around the world every day.</w:t>
      </w:r>
    </w:p>
    <w:p w14:paraId="74EB094F" w14:textId="77777777" w:rsidR="00242BCE" w:rsidRPr="002E5ABD" w:rsidRDefault="00242BCE" w:rsidP="00242BCE">
      <w:pPr>
        <w:spacing w:before="120" w:after="0" w:line="228" w:lineRule="auto"/>
        <w:jc w:val="both"/>
        <w:rPr>
          <w:rFonts w:ascii="Muli" w:hAnsi="Muli" w:cstheme="minorHAnsi"/>
          <w:b/>
          <w:bCs/>
          <w:i/>
          <w:sz w:val="20"/>
          <w:szCs w:val="20"/>
          <w:lang w:val="en-US"/>
        </w:rPr>
      </w:pPr>
      <w:r w:rsidRPr="002E5ABD">
        <w:rPr>
          <w:rFonts w:ascii="Muli" w:hAnsi="Muli" w:cstheme="minorHAnsi"/>
          <w:b/>
          <w:bCs/>
          <w:i/>
          <w:sz w:val="20"/>
          <w:szCs w:val="20"/>
          <w:lang w:val="en-US"/>
        </w:rPr>
        <w:t xml:space="preserve">For further information, please visit </w:t>
      </w:r>
      <w:hyperlink r:id="rId11" w:history="1">
        <w:r w:rsidRPr="002E5ABD">
          <w:rPr>
            <w:rFonts w:ascii="Muli" w:hAnsi="Muli" w:cstheme="minorHAnsi"/>
            <w:b/>
            <w:bCs/>
            <w:i/>
            <w:sz w:val="20"/>
            <w:szCs w:val="20"/>
            <w:lang w:val="en-US"/>
          </w:rPr>
          <w:t>ifra</w:t>
        </w:r>
        <w:r>
          <w:rPr>
            <w:rFonts w:ascii="Muli" w:hAnsi="Muli" w:cstheme="minorHAnsi"/>
            <w:b/>
            <w:bCs/>
            <w:i/>
            <w:sz w:val="20"/>
            <w:szCs w:val="20"/>
            <w:lang w:val="en-US"/>
          </w:rPr>
          <w:t>fragrance</w:t>
        </w:r>
        <w:r w:rsidRPr="002E5ABD">
          <w:rPr>
            <w:rFonts w:ascii="Muli" w:hAnsi="Muli" w:cstheme="minorHAnsi"/>
            <w:b/>
            <w:bCs/>
            <w:i/>
            <w:sz w:val="20"/>
            <w:szCs w:val="20"/>
            <w:lang w:val="en-US"/>
          </w:rPr>
          <w:t>.org</w:t>
        </w:r>
      </w:hyperlink>
    </w:p>
    <w:p w14:paraId="77D11707" w14:textId="77777777" w:rsidR="00242BCE" w:rsidRPr="002E5ABD" w:rsidRDefault="00242BCE" w:rsidP="00242BCE">
      <w:pPr>
        <w:spacing w:before="120" w:after="0" w:line="228" w:lineRule="auto"/>
        <w:jc w:val="both"/>
        <w:rPr>
          <w:rFonts w:ascii="Muli" w:hAnsi="Muli" w:cstheme="minorHAnsi"/>
          <w:bCs/>
          <w:sz w:val="20"/>
          <w:szCs w:val="20"/>
          <w:lang w:val="en-US"/>
        </w:rPr>
      </w:pPr>
    </w:p>
    <w:p w14:paraId="2B6D6726" w14:textId="77777777" w:rsidR="00242BCE" w:rsidRPr="002E5ABD" w:rsidRDefault="00242BCE" w:rsidP="00242BCE">
      <w:pPr>
        <w:spacing w:before="120" w:after="0" w:line="228" w:lineRule="auto"/>
        <w:jc w:val="both"/>
        <w:rPr>
          <w:rFonts w:ascii="Muli" w:hAnsi="Muli" w:cstheme="minorHAnsi"/>
          <w:bCs/>
          <w:sz w:val="20"/>
          <w:szCs w:val="20"/>
          <w:lang w:val="en-US"/>
        </w:rPr>
      </w:pPr>
    </w:p>
    <w:p w14:paraId="1F1ADD2C" w14:textId="77777777" w:rsidR="00242BCE" w:rsidRPr="002E5ABD" w:rsidRDefault="00242BCE" w:rsidP="00242BCE">
      <w:pPr>
        <w:pBdr>
          <w:bottom w:val="single" w:sz="4" w:space="1" w:color="auto"/>
        </w:pBdr>
        <w:spacing w:before="120" w:after="0" w:line="228" w:lineRule="auto"/>
        <w:jc w:val="both"/>
        <w:rPr>
          <w:rFonts w:ascii="Unna" w:hAnsi="Unna"/>
          <w:i/>
          <w:color w:val="070707" w:themeColor="text1"/>
          <w:sz w:val="28"/>
          <w:lang w:val="en-US"/>
        </w:rPr>
      </w:pPr>
      <w:r>
        <w:rPr>
          <w:rFonts w:ascii="Unna" w:hAnsi="Unna"/>
          <w:i/>
          <w:color w:val="070707" w:themeColor="text1"/>
          <w:sz w:val="28"/>
          <w:lang w:val="en-US"/>
        </w:rPr>
        <w:t>Note to Editors</w:t>
      </w:r>
    </w:p>
    <w:p w14:paraId="64A39595" w14:textId="77777777" w:rsidR="00242BCE" w:rsidRPr="00C93AF4" w:rsidRDefault="00242BCE" w:rsidP="00242BCE">
      <w:pPr>
        <w:spacing w:before="240" w:after="0" w:line="228" w:lineRule="auto"/>
        <w:jc w:val="both"/>
        <w:rPr>
          <w:rFonts w:ascii="Muli" w:hAnsi="Muli" w:cstheme="minorHAnsi"/>
          <w:bCs/>
          <w:sz w:val="20"/>
          <w:szCs w:val="20"/>
        </w:rPr>
      </w:pPr>
      <w:r w:rsidRPr="00C93AF4">
        <w:rPr>
          <w:rFonts w:ascii="Muli" w:hAnsi="Muli" w:cstheme="minorHAnsi"/>
          <w:bCs/>
          <w:sz w:val="20"/>
          <w:szCs w:val="20"/>
        </w:rPr>
        <w:t>The full report and additional information, including country- and regional-level information</w:t>
      </w:r>
      <w:r>
        <w:rPr>
          <w:rFonts w:ascii="Muli" w:hAnsi="Muli" w:cstheme="minorHAnsi"/>
          <w:bCs/>
          <w:sz w:val="20"/>
          <w:szCs w:val="20"/>
        </w:rPr>
        <w:t xml:space="preserve"> as well as segmented information on downstream industries</w:t>
      </w:r>
      <w:r w:rsidRPr="00C93AF4">
        <w:rPr>
          <w:rFonts w:ascii="Muli" w:hAnsi="Muli" w:cstheme="minorHAnsi"/>
          <w:bCs/>
          <w:sz w:val="20"/>
          <w:szCs w:val="20"/>
        </w:rPr>
        <w:t xml:space="preserve">, can be found at </w:t>
      </w:r>
      <w:r w:rsidRPr="00C93AF4">
        <w:rPr>
          <w:rFonts w:ascii="Muli SemiBold" w:hAnsi="Muli SemiBold" w:cstheme="minorHAnsi"/>
          <w:color w:val="070707" w:themeColor="text1"/>
          <w:sz w:val="20"/>
          <w:szCs w:val="20"/>
          <w:lang w:val="en-US"/>
        </w:rPr>
        <w:t>ifrafragrance.org/value</w:t>
      </w:r>
      <w:r w:rsidRPr="00C93AF4">
        <w:rPr>
          <w:rFonts w:ascii="Muli" w:hAnsi="Muli" w:cstheme="minorHAnsi"/>
          <w:bCs/>
          <w:sz w:val="20"/>
          <w:szCs w:val="20"/>
        </w:rPr>
        <w:t>.</w:t>
      </w:r>
    </w:p>
    <w:p w14:paraId="72AE6299" w14:textId="77777777" w:rsidR="00242BCE" w:rsidRPr="002E5ABD" w:rsidRDefault="00242BCE" w:rsidP="00242BCE">
      <w:pPr>
        <w:spacing w:before="120" w:after="0" w:line="228" w:lineRule="auto"/>
        <w:jc w:val="both"/>
        <w:rPr>
          <w:rFonts w:ascii="Muli" w:hAnsi="Muli" w:cstheme="minorHAnsi"/>
          <w:bCs/>
          <w:sz w:val="20"/>
          <w:szCs w:val="20"/>
          <w:lang w:val="en-US"/>
        </w:rPr>
      </w:pPr>
    </w:p>
    <w:p w14:paraId="27096FE2" w14:textId="77777777" w:rsidR="00242BCE" w:rsidRPr="002E5ABD" w:rsidRDefault="00242BCE" w:rsidP="00242BCE">
      <w:pPr>
        <w:spacing w:before="120" w:after="0" w:line="228" w:lineRule="auto"/>
        <w:jc w:val="both"/>
        <w:rPr>
          <w:rFonts w:ascii="Muli" w:hAnsi="Muli" w:cstheme="minorHAnsi"/>
          <w:bCs/>
          <w:sz w:val="20"/>
          <w:szCs w:val="20"/>
          <w:lang w:val="en-US"/>
        </w:rPr>
      </w:pPr>
    </w:p>
    <w:p w14:paraId="301604F3" w14:textId="77777777" w:rsidR="00242BCE" w:rsidRPr="002E5ABD" w:rsidRDefault="00242BCE" w:rsidP="00242BCE">
      <w:pPr>
        <w:pBdr>
          <w:bottom w:val="single" w:sz="4" w:space="1" w:color="auto"/>
        </w:pBdr>
        <w:spacing w:before="120" w:after="0" w:line="228" w:lineRule="auto"/>
        <w:jc w:val="both"/>
        <w:rPr>
          <w:rFonts w:ascii="Unna" w:hAnsi="Unna"/>
          <w:i/>
          <w:color w:val="070707" w:themeColor="text1"/>
          <w:sz w:val="28"/>
          <w:lang w:val="en-US"/>
        </w:rPr>
      </w:pPr>
      <w:r w:rsidRPr="002E5ABD">
        <w:rPr>
          <w:rFonts w:ascii="Unna" w:hAnsi="Unna"/>
          <w:i/>
          <w:color w:val="070707" w:themeColor="text1"/>
          <w:sz w:val="28"/>
          <w:lang w:val="en-US"/>
        </w:rPr>
        <w:t>Media enquiries</w:t>
      </w:r>
    </w:p>
    <w:p w14:paraId="57C89B91" w14:textId="77777777" w:rsidR="00242BCE" w:rsidRPr="002E5ABD" w:rsidRDefault="00242BCE" w:rsidP="00242BCE">
      <w:pPr>
        <w:tabs>
          <w:tab w:val="left" w:pos="4536"/>
        </w:tabs>
        <w:spacing w:before="240" w:after="0" w:line="228" w:lineRule="auto"/>
        <w:rPr>
          <w:rFonts w:ascii="Muli" w:hAnsi="Muli" w:cstheme="minorHAnsi"/>
          <w:b/>
          <w:sz w:val="20"/>
          <w:szCs w:val="20"/>
          <w:lang w:val="en-US"/>
        </w:rPr>
      </w:pPr>
      <w:r w:rsidRPr="002E5ABD">
        <w:rPr>
          <w:rFonts w:ascii="Muli" w:hAnsi="Muli" w:cstheme="minorHAnsi"/>
          <w:b/>
          <w:sz w:val="20"/>
          <w:szCs w:val="20"/>
          <w:lang w:val="en-US"/>
        </w:rPr>
        <w:t xml:space="preserve">David O’Leary </w:t>
      </w:r>
      <w:r w:rsidRPr="002E5ABD">
        <w:rPr>
          <w:rFonts w:ascii="Muli" w:hAnsi="Muli" w:cstheme="minorHAnsi"/>
          <w:b/>
          <w:sz w:val="20"/>
          <w:szCs w:val="20"/>
          <w:lang w:val="en-US"/>
        </w:rPr>
        <w:tab/>
      </w:r>
    </w:p>
    <w:p w14:paraId="4604F9D8" w14:textId="77777777" w:rsidR="00242BCE" w:rsidRPr="002E5ABD" w:rsidRDefault="00242BCE" w:rsidP="00242BCE">
      <w:pPr>
        <w:tabs>
          <w:tab w:val="left" w:pos="4536"/>
        </w:tabs>
        <w:spacing w:after="0" w:line="228" w:lineRule="auto"/>
        <w:rPr>
          <w:rFonts w:ascii="Muli" w:hAnsi="Muli" w:cstheme="minorHAnsi"/>
          <w:i/>
          <w:sz w:val="20"/>
          <w:szCs w:val="20"/>
          <w:lang w:val="en-US"/>
        </w:rPr>
      </w:pPr>
      <w:r w:rsidRPr="002E5ABD">
        <w:rPr>
          <w:rFonts w:ascii="Muli" w:hAnsi="Muli" w:cstheme="minorHAnsi"/>
          <w:i/>
          <w:sz w:val="20"/>
          <w:szCs w:val="20"/>
          <w:lang w:val="en-US"/>
        </w:rPr>
        <w:t>IFRA Communications Director</w:t>
      </w:r>
      <w:r w:rsidRPr="002E5ABD">
        <w:rPr>
          <w:rFonts w:ascii="Muli" w:hAnsi="Muli" w:cstheme="minorHAnsi"/>
          <w:i/>
          <w:sz w:val="20"/>
          <w:szCs w:val="20"/>
          <w:lang w:val="en-US"/>
        </w:rPr>
        <w:tab/>
      </w:r>
    </w:p>
    <w:p w14:paraId="47F1AA16" w14:textId="77777777" w:rsidR="00242BCE" w:rsidRPr="002E5ABD" w:rsidRDefault="00242BCE" w:rsidP="00242BCE">
      <w:pPr>
        <w:tabs>
          <w:tab w:val="left" w:pos="4536"/>
        </w:tabs>
        <w:spacing w:before="120" w:after="0" w:line="228" w:lineRule="auto"/>
        <w:rPr>
          <w:rFonts w:ascii="Muli" w:hAnsi="Muli" w:cstheme="minorHAnsi"/>
          <w:sz w:val="20"/>
          <w:szCs w:val="20"/>
          <w:lang w:val="en-US"/>
        </w:rPr>
      </w:pPr>
      <w:r w:rsidRPr="002E5ABD">
        <w:rPr>
          <w:rFonts w:ascii="Muli" w:hAnsi="Muli" w:cstheme="minorHAnsi"/>
          <w:sz w:val="20"/>
          <w:szCs w:val="20"/>
          <w:lang w:val="en-US"/>
        </w:rPr>
        <w:t>+32 474 523 491</w:t>
      </w:r>
      <w:r w:rsidRPr="002E5ABD">
        <w:rPr>
          <w:rFonts w:ascii="Muli" w:hAnsi="Muli" w:cstheme="minorHAnsi"/>
          <w:sz w:val="20"/>
          <w:szCs w:val="20"/>
          <w:lang w:val="en-US"/>
        </w:rPr>
        <w:br/>
      </w:r>
      <w:r w:rsidRPr="002E5ABD">
        <w:rPr>
          <w:rFonts w:ascii="Muli" w:hAnsi="Muli"/>
          <w:sz w:val="20"/>
          <w:szCs w:val="20"/>
          <w:lang w:val="en-US"/>
        </w:rPr>
        <w:t>doleary@ifraorg.or</w:t>
      </w:r>
      <w:r>
        <w:rPr>
          <w:rFonts w:ascii="Muli" w:hAnsi="Muli"/>
          <w:sz w:val="20"/>
          <w:szCs w:val="20"/>
          <w:lang w:val="en-US"/>
        </w:rPr>
        <w:t>g</w:t>
      </w:r>
    </w:p>
    <w:bookmarkEnd w:id="0"/>
    <w:p w14:paraId="1D48CFB4" w14:textId="54570273" w:rsidR="001F51D4" w:rsidRPr="00242BCE" w:rsidRDefault="001F51D4" w:rsidP="00242BCE"/>
    <w:sectPr w:rsidR="001F51D4" w:rsidRPr="00242BCE" w:rsidSect="004575F1">
      <w:headerReference w:type="default" r:id="rId12"/>
      <w:footerReference w:type="default" r:id="rId13"/>
      <w:headerReference w:type="first" r:id="rId14"/>
      <w:footerReference w:type="first" r:id="rId15"/>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AC602" w14:textId="77777777" w:rsidR="00B0014F" w:rsidRDefault="00B0014F" w:rsidP="006F0CE3">
      <w:pPr>
        <w:spacing w:after="0" w:line="240" w:lineRule="auto"/>
      </w:pPr>
      <w:r>
        <w:separator/>
      </w:r>
    </w:p>
  </w:endnote>
  <w:endnote w:type="continuationSeparator" w:id="0">
    <w:p w14:paraId="3B3FFCF3" w14:textId="77777777" w:rsidR="00B0014F" w:rsidRDefault="00B0014F" w:rsidP="006F0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panose1 w:val="00000500000000000000"/>
    <w:charset w:val="00"/>
    <w:family w:val="auto"/>
    <w:pitch w:val="variable"/>
    <w:sig w:usb0="20000007" w:usb1="00000001" w:usb2="00000000" w:usb3="00000000" w:csb0="00000193" w:csb1="00000000"/>
    <w:embedRegular r:id="rId1" w:fontKey="{942EF105-EBF3-49F2-9B34-D266CF2AC8FE}"/>
    <w:embedBold r:id="rId2" w:fontKey="{0EE7CBD4-7E1A-4D1E-A31A-F9D763613D02}"/>
    <w:embedItalic r:id="rId3" w:fontKey="{3C3252D3-606F-4598-97AB-96A5D8F3FF4B}"/>
    <w:embedBoldItalic r:id="rId4" w:fontKey="{1D8A6670-F7D0-404E-9F27-43A735AE3ECA}"/>
  </w:font>
  <w:font w:name="Calibri">
    <w:panose1 w:val="020F0502020204030204"/>
    <w:charset w:val="00"/>
    <w:family w:val="swiss"/>
    <w:pitch w:val="variable"/>
    <w:sig w:usb0="E0002AFF" w:usb1="C000247B" w:usb2="00000009" w:usb3="00000000" w:csb0="000001FF" w:csb1="00000000"/>
    <w:embedRegular r:id="rId5" w:fontKey="{F854BCF8-F62F-464A-9688-ACB2E080A159}"/>
    <w:embedBold r:id="rId6" w:fontKey="{854CCAFC-7721-428F-AD8E-C3496B12BA82}"/>
    <w:embedItalic r:id="rId7" w:fontKey="{FCB14A50-E9C9-4AE2-BCA7-9731157202F2}"/>
    <w:embedBoldItalic r:id="rId8" w:fontKey="{3073B3B9-7603-4F03-9820-5B21A90FEEE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9" w:fontKey="{020AEF4A-1C24-466E-ABAA-949750E7C96C}"/>
  </w:font>
  <w:font w:name="Arial-BoldMT">
    <w:altName w:val="Arial"/>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EA1175BB-B4B1-4563-A32C-C2EED766F007}"/>
  </w:font>
  <w:font w:name="Segoe UI">
    <w:panose1 w:val="020B0502040204020203"/>
    <w:charset w:val="00"/>
    <w:family w:val="swiss"/>
    <w:pitch w:val="variable"/>
    <w:sig w:usb0="E4002EFF" w:usb1="C000E47F" w:usb2="00000009" w:usb3="00000000" w:csb0="000001FF" w:csb1="00000000"/>
    <w:embedRegular r:id="rId11" w:fontKey="{C74DEAE2-8690-4745-8FD1-9434168C1C9A}"/>
  </w:font>
  <w:font w:name="MS Mincho">
    <w:altName w:val="ＭＳ 明朝"/>
    <w:panose1 w:val="02020609040205080304"/>
    <w:charset w:val="80"/>
    <w:family w:val="modern"/>
    <w:pitch w:val="fixed"/>
    <w:sig w:usb0="E00002FF" w:usb1="6AC7FDFB" w:usb2="08000012" w:usb3="00000000" w:csb0="0002009F" w:csb1="00000000"/>
  </w:font>
  <w:font w:name="Unna">
    <w:panose1 w:val="02040503070705020203"/>
    <w:charset w:val="00"/>
    <w:family w:val="roman"/>
    <w:pitch w:val="variable"/>
    <w:sig w:usb0="00000007" w:usb1="00000000" w:usb2="00000000" w:usb3="00000000" w:csb0="00000093" w:csb1="00000000"/>
    <w:embedBold r:id="rId12" w:fontKey="{7C7ECB16-F26A-4E06-BB46-08631FCC0626}"/>
    <w:embedItalic r:id="rId13" w:fontKey="{BC877057-A283-469D-9C8E-7CACC850DE94}"/>
  </w:font>
  <w:font w:name="Muli SemiBold">
    <w:panose1 w:val="00000700000000000000"/>
    <w:charset w:val="00"/>
    <w:family w:val="auto"/>
    <w:pitch w:val="variable"/>
    <w:sig w:usb0="20000007" w:usb1="00000001" w:usb2="00000000" w:usb3="00000000" w:csb0="00000193" w:csb1="00000000"/>
    <w:embedRegular r:id="rId14" w:fontKey="{E671AEDD-E913-4A4F-8BE8-712D7DE818A5}"/>
  </w:font>
  <w:font w:name="Century Gothic">
    <w:altName w:val="Century Gothic"/>
    <w:panose1 w:val="020B0502020202020204"/>
    <w:charset w:val="00"/>
    <w:family w:val="swiss"/>
    <w:pitch w:val="variable"/>
    <w:sig w:usb0="00000287" w:usb1="00000000" w:usb2="00000000" w:usb3="00000000" w:csb0="0000009F" w:csb1="00000000"/>
    <w:embedRegular r:id="rId15" w:fontKey="{CAE1D4B9-6A10-496F-BD42-4A4B89B46780}"/>
    <w:embedBold r:id="rId16" w:fontKey="{C0920086-DB9F-4D17-A737-BDD2B2137A5D}"/>
  </w:font>
  <w:font w:name="Muli Light">
    <w:panose1 w:val="00000400000000000000"/>
    <w:charset w:val="00"/>
    <w:family w:val="auto"/>
    <w:pitch w:val="variable"/>
    <w:sig w:usb0="20000007" w:usb1="00000001" w:usb2="00000000" w:usb3="00000000" w:csb0="00000193" w:csb1="00000000"/>
    <w:embedRegular r:id="rId17" w:fontKey="{A19D5400-43D6-44D7-88A2-E96B9841B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8E536" w14:textId="77777777" w:rsidR="00003804" w:rsidRPr="009639F4" w:rsidRDefault="00003804" w:rsidP="000C74E4">
    <w:pPr>
      <w:pStyle w:val="Footer"/>
      <w:jc w:val="right"/>
      <w:rPr>
        <w:rFonts w:ascii="Muli" w:hAnsi="Muli"/>
        <w:i/>
        <w:sz w:val="16"/>
      </w:rPr>
    </w:pPr>
    <w:r w:rsidRPr="009639F4">
      <w:rPr>
        <w:rFonts w:ascii="Muli" w:hAnsi="Muli"/>
        <w:i/>
        <w:noProof/>
        <w:sz w:val="18"/>
      </w:rPr>
      <mc:AlternateContent>
        <mc:Choice Requires="wpg">
          <w:drawing>
            <wp:anchor distT="0" distB="0" distL="114300" distR="114300" simplePos="0" relativeHeight="251659776" behindDoc="0" locked="0" layoutInCell="1" allowOverlap="1" wp14:anchorId="387A88CE" wp14:editId="3CF57D0A">
              <wp:simplePos x="0" y="0"/>
              <wp:positionH relativeFrom="column">
                <wp:posOffset>0</wp:posOffset>
              </wp:positionH>
              <wp:positionV relativeFrom="paragraph">
                <wp:posOffset>495935</wp:posOffset>
              </wp:positionV>
              <wp:extent cx="1541145" cy="76758"/>
              <wp:effectExtent l="0" t="0" r="1905" b="0"/>
              <wp:wrapNone/>
              <wp:docPr id="41" name="Group 33"/>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2" name="Rectangle 42"/>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43" name="Rectangle 43"/>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44" name="Rectangle 44"/>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45" name="Rectangle 45"/>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46" name="Rectangle 46"/>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47" name="Rectangle 47"/>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8CE1DD0" id="Group 33" o:spid="_x0000_s1026" style="position:absolute;margin-left:0;margin-top:39.05pt;width:121.35pt;height:6.05pt;z-index:251659776;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in8wIAAGoOAAAOAAAAZHJzL2Uyb0RvYy54bWzsV1tP2zAUfp+0/2D5HXJPmogUlXJ5mTY0&#10;th9gHOciJXZkm7b8+x07aWCUasAk2KS+pHbsnsv3ne/EPjnddC1aMakawXPsHbsYMU5F0fAqxz9/&#10;XB7NMFKa8IK0grMc3zOFT+efP52s+4z5ohZtwSQCI1xl6z7HtdZ95jiK1qwj6lj0jMNiKWRHNExl&#10;5RSSrMF61zq+68bOWsiil4IypeDt+bCI59Z+WTKqv5WlYhq1OYbYtH1K+7w1T2d+QrJKkr5u6BgG&#10;eUMUHWk4OJ1MnRNN0J1sdkx1DZVCiVIfU9E5oiwbymwOkI3nPsnmSoq73uZSZeuqn2ACaJ/g9Gaz&#10;9OvqWqKmyHHoYcRJBxxZtygIDDjrvspgz5Xsb/prOb6ohpnJd1PKzvxCJmhjYb2fYGUbjSi89KLQ&#10;88IIIwprSZxEswF2WgM35l9HUTxLkgQjWB+HlhdaX4wmEi9wfS8cTEReGESu5c7ZRuCYQKe41j1U&#10;k3oATP0dYDc16ZnlQRkwtoD5W8C+Q5kRXrUMhf4Amt03IaYyBeA9A9e+xCfkvNRzUwDGIGfSDtPU&#10;OJjSJlkvlb5iokNmkGMJodhCJKsvSg9bt1tMAEq0TXHZtK2dGJWxZSvRioA+CKWMa2908NvOlqN1&#10;jtPINywS0GnZEg3DrofKUbzCiLQVNACqpfXOhfFhSTTez4mqBx/W6uih5SYIZlU6BmuIG7Ayo1tR&#10;3APYUrdLMeiXcFoLkK/xY5IbiTZ1+h6MB88wPsrkhYzHXjyLoY6fVPpHEm5LFirqQPiuxIGpoSc+&#10;knhoKs/UG7SCP0vcm7lJGkNv/SDGZXU7CTxaLs785KBvXu3p6NDdduiOXkW3n6ZB7MKX4R+g++Ji&#10;sfSXB7r30h0/Q3f8KrpDbxbG8E2e6B6PNu/Vzx+re+FH4exAN9wC9qgbzlE76rbd8MXNPAoSNwjh&#10;HrFV9wfSHZwtwsX2EPx/fbvtYR0uNPYgO16+zI3p8dwe7h6uiPNfAAAA//8DAFBLAwQUAAYACAAA&#10;ACEAvvurdt4AAAAGAQAADwAAAGRycy9kb3ducmV2LnhtbEyPT0vDQBTE74LfYXmCN7tJ/NMa81JK&#10;UU+lYCuIt9fkNQnNvg3ZbZJ+e9eTHocZZn6TLSfTqoF711hBiGcRKJbClo1UCJ/7t7sFKOdJSmqt&#10;MMKFHSzz66uM0tKO8sHDzlcqlIhLCaH2vku1dkXNhtzMdizBO9rekA+yr3TZ0xjKTauTKHrShhoJ&#10;CzV1vK65OO3OBuF9pHF1H78Om9NxffneP26/NjEj3t5MqxdQnif/F4Zf/IAOeWA62LOUTrUI4YhH&#10;mC9iUMFNHpI5qAPCc5SAzjP9Hz//AQAA//8DAFBLAQItABQABgAIAAAAIQC2gziS/gAAAOEBAAAT&#10;AAAAAAAAAAAAAAAAAAAAAABbQ29udGVudF9UeXBlc10ueG1sUEsBAi0AFAAGAAgAAAAhADj9If/W&#10;AAAAlAEAAAsAAAAAAAAAAAAAAAAALwEAAF9yZWxzLy5yZWxzUEsBAi0AFAAGAAgAAAAhALMwKKfz&#10;AgAAag4AAA4AAAAAAAAAAAAAAAAALgIAAGRycy9lMm9Eb2MueG1sUEsBAi0AFAAGAAgAAAAhAL77&#10;q3beAAAABgEAAA8AAAAAAAAAAAAAAAAATQUAAGRycy9kb3ducmV2LnhtbFBLBQYAAAAABAAEAPMA&#10;AABYBgAAAAA=&#10;">
              <v:rect id="Rectangle 42"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UvwAAANsAAAAPAAAAZHJzL2Rvd25yZXYueG1sRI/NCsIw&#10;EITvgu8QVvCmqUVEqlFEVPTozwOszdoWm01tYq1vbwTB4zAz3zDzZWtK0VDtCssKRsMIBHFqdcGZ&#10;gst5O5iCcB5ZY2mZFLzJwXLR7cwx0fbFR2pOPhMBwi5BBbn3VSKlS3My6Ia2Ig7ezdYGfZB1JnWN&#10;rwA3pYyjaCINFhwWcqxonVN6Pz2NAh5n0/OjieJ2d53stof4sro9Nkr1e+1qBsJT6//hX3uvFYxj&#10;+H4JP0AuPgAAAP//AwBQSwECLQAUAAYACAAAACEA2+H2y+4AAACFAQAAEwAAAAAAAAAAAAAAAAAA&#10;AAAAW0NvbnRlbnRfVHlwZXNdLnhtbFBLAQItABQABgAIAAAAIQBa9CxbvwAAABUBAAALAAAAAAAA&#10;AAAAAAAAAB8BAABfcmVscy8ucmVsc1BLAQItABQABgAIAAAAIQBdJ+jUvwAAANsAAAAPAAAAAAAA&#10;AAAAAAAAAAcCAABkcnMvZG93bnJldi54bWxQSwUGAAAAAAMAAwC3AAAA8wIAAAAA&#10;" fillcolor="#052eb3 [3204]" stroked="f"/>
              <v:rect id="Rectangle 43"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GZwwAAANsAAAAPAAAAZHJzL2Rvd25yZXYueG1sRI/disIw&#10;FITvBd8hHME7Tf1Blq5RysqiIKirPsChOTZlm5Nuk9X69kYQvBxm5htmvmxtJa7U+NKxgtEwAUGc&#10;O11yoeB8+h58gPABWWPlmBTcycNy0e3MMdXuxj90PYZCRAj7FBWYEOpUSp8bsuiHriaO3sU1FkOU&#10;TSF1g7cIt5UcJ8lMWiw5Lhis6ctQ/nv8twpy/Dtt77Q3u2x9Xo10sT/U2UWpfq/NPkEEasM7/Gpv&#10;tILpBJ5f4g+QiwcAAAD//wMAUEsBAi0AFAAGAAgAAAAhANvh9svuAAAAhQEAABMAAAAAAAAAAAAA&#10;AAAAAAAAAFtDb250ZW50X1R5cGVzXS54bWxQSwECLQAUAAYACAAAACEAWvQsW78AAAAVAQAACwAA&#10;AAAAAAAAAAAAAAAfAQAAX3JlbHMvLnJlbHNQSwECLQAUAAYACAAAACEAXKYRmcMAAADbAAAADwAA&#10;AAAAAAAAAAAAAAAHAgAAZHJzL2Rvd25yZXYueG1sUEsFBgAAAAADAAMAtwAAAPcCAAAAAA==&#10;" fillcolor="#e94545 [3205]" stroked="f"/>
              <v:rect id="Rectangle 44"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hoxAAAANsAAAAPAAAAZHJzL2Rvd25yZXYueG1sRI9Ba8JA&#10;FITvBf/D8oTe6sYSQkldRQTBQy/RHnp8zT6z0ezbNbs10V/vFgo9DjPzDbNYjbYTV+pD61jBfJaB&#10;IK6dbrlR8HnYvryBCBFZY+eYFNwowGo5eVpgqd3AFV33sREJwqFEBSZGX0oZakMWw8x54uQdXW8x&#10;Jtk3Uvc4JLjt5GuWFdJiy2nBoKeNofq8/7EK7pfiVpwqff/69pss/xiMHXyl1PN0XL+DiDTG//Bf&#10;e6cV5Dn8fkk/QC4fAAAA//8DAFBLAQItABQABgAIAAAAIQDb4fbL7gAAAIUBAAATAAAAAAAAAAAA&#10;AAAAAAAAAABbQ29udGVudF9UeXBlc10ueG1sUEsBAi0AFAAGAAgAAAAhAFr0LFu/AAAAFQEAAAsA&#10;AAAAAAAAAAAAAAAAHwEAAF9yZWxzLy5yZWxzUEsBAi0AFAAGAAgAAAAhAD0aaGjEAAAA2wAAAA8A&#10;AAAAAAAAAAAAAAAABwIAAGRycy9kb3ducmV2LnhtbFBLBQYAAAAAAwADALcAAAD4AgAAAAA=&#10;" fillcolor="#5cab27" stroked="f"/>
              <v:rect id="Rectangle 45"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srxAAAANsAAAAPAAAAZHJzL2Rvd25yZXYueG1sRI9Ba8JA&#10;FITvQv/D8oReRDcVtTZmFREE25taPT+yr8mS7Ns0u8b033cLBY/DzHzDZJve1qKj1hvHCl4mCQji&#10;3GnDhYLP8368BOEDssbaMSn4IQ+b9dMgw1S7Ox+pO4VCRAj7FBWUITSplD4vyaKfuIY4el+utRii&#10;bAupW7xHuK3lNEkW0qLhuFBiQ7uS8up0swrOo8ubNOb4/WFep8212nXv822n1POw365ABOrDI/zf&#10;PmgFszn8fYk/QK5/AQAA//8DAFBLAQItABQABgAIAAAAIQDb4fbL7gAAAIUBAAATAAAAAAAAAAAA&#10;AAAAAAAAAABbQ29udGVudF9UeXBlc10ueG1sUEsBAi0AFAAGAAgAAAAhAFr0LFu/AAAAFQEAAAsA&#10;AAAAAAAAAAAAAAAAHwEAAF9yZWxzLy5yZWxzUEsBAi0AFAAGAAgAAAAhANuZiyvEAAAA2wAAAA8A&#10;AAAAAAAAAAAAAAAABwIAAGRycy9kb3ducmV2LnhtbFBLBQYAAAAAAwADALcAAAD4AgAAAAA=&#10;" fillcolor="#eeac2c" stroked="f"/>
              <v:rect id="Rectangle 46"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U8xgAAANsAAAAPAAAAZHJzL2Rvd25yZXYueG1sRI9Ra8JA&#10;EITfC/0Pxwp9qxe1SJt6Sqm2FGqVWkF9W3JrEprbC7ltTP99ryD4OMzMN8xk1rlKtdSE0rOBQT8B&#10;RZx5W3JuYPv1cnsPKgiyxcozGfilALPp9dUEU+tP/EntRnIVIRxSNFCI1KnWISvIYej7mjh6R984&#10;lCibXNsGTxHuKj1MkrF2WHJcKLCm54Ky782PMzDarl7z5X7+vm4Pu5W4D1k/LKwxN73u6RGUUCeX&#10;8Ln9Zg3cjeH/S/wBevoHAAD//wMAUEsBAi0AFAAGAAgAAAAhANvh9svuAAAAhQEAABMAAAAAAAAA&#10;AAAAAAAAAAAAAFtDb250ZW50X1R5cGVzXS54bWxQSwECLQAUAAYACAAAACEAWvQsW78AAAAVAQAA&#10;CwAAAAAAAAAAAAAAAAAfAQAAX3JlbHMvLnJlbHNQSwECLQAUAAYACAAAACEApDG1PMYAAADbAAAA&#10;DwAAAAAAAAAAAAAAAAAHAgAAZHJzL2Rvd25yZXYueG1sUEsFBgAAAAADAAMAtwAAAPoCAAAAAA==&#10;" fillcolor="#a2548c" stroked="f"/>
              <v:rect id="Rectangle 47"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rdwQAAANsAAAAPAAAAZHJzL2Rvd25yZXYueG1sRI9Pi8Iw&#10;FMTvgt8hPMGbpv5fuo2iouJxt/ayt0fzti02L6WJWr+9WVjwOMzMb5hk05la3Kl1lWUFk3EEgji3&#10;uuJCQXY5jj5AOI+ssbZMCp7kYLPu9xKMtX3wN91TX4gAYRejgtL7JpbS5SUZdGPbEAfv17YGfZBt&#10;IXWLjwA3tZxG0VIarDgslNjQvqT8mt5MoNjDodK7y+xLZ+lp7+jn2ZwXSg0H3fYThKfOv8P/7bNW&#10;MF/B35fwA+T6BQAA//8DAFBLAQItABQABgAIAAAAIQDb4fbL7gAAAIUBAAATAAAAAAAAAAAAAAAA&#10;AAAAAABbQ29udGVudF9UeXBlc10ueG1sUEsBAi0AFAAGAAgAAAAhAFr0LFu/AAAAFQEAAAsAAAAA&#10;AAAAAAAAAAAAHwEAAF9yZWxzLy5yZWxzUEsBAi0AFAAGAAgAAAAhANucKt3BAAAA2wAAAA8AAAAA&#10;AAAAAAAAAAAABwIAAGRycy9kb3ducmV2LnhtbFBLBQYAAAAAAwADALcAAAD1AgAAAAA=&#10;" fillcolor="#3ba4a0" stroked="f"/>
            </v:group>
          </w:pict>
        </mc:Fallback>
      </mc:AlternateContent>
    </w:r>
    <w:r w:rsidRPr="009639F4">
      <w:rPr>
        <w:rFonts w:ascii="Muli" w:hAnsi="Muli"/>
        <w:i/>
        <w:sz w:val="16"/>
      </w:rPr>
      <w:t xml:space="preserve">page </w:t>
    </w:r>
    <w:r w:rsidRPr="009639F4">
      <w:rPr>
        <w:rFonts w:ascii="Muli" w:hAnsi="Muli"/>
        <w:i/>
        <w:sz w:val="16"/>
      </w:rPr>
      <w:fldChar w:fldCharType="begin"/>
    </w:r>
    <w:r w:rsidRPr="009639F4">
      <w:rPr>
        <w:rFonts w:ascii="Muli" w:hAnsi="Muli"/>
        <w:i/>
        <w:sz w:val="16"/>
      </w:rPr>
      <w:instrText xml:space="preserve"> PAGE   \* MERGEFORMAT </w:instrText>
    </w:r>
    <w:r w:rsidRPr="009639F4">
      <w:rPr>
        <w:rFonts w:ascii="Muli" w:hAnsi="Muli"/>
        <w:i/>
        <w:sz w:val="16"/>
      </w:rPr>
      <w:fldChar w:fldCharType="separate"/>
    </w:r>
    <w:r w:rsidRPr="009639F4">
      <w:rPr>
        <w:rFonts w:ascii="Muli" w:hAnsi="Muli"/>
        <w:i/>
        <w:noProof/>
        <w:sz w:val="16"/>
      </w:rPr>
      <w:t>1</w:t>
    </w:r>
    <w:r w:rsidRPr="009639F4">
      <w:rPr>
        <w:rFonts w:ascii="Muli" w:hAnsi="Muli"/>
        <w:i/>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76D0" w14:textId="77777777" w:rsidR="00003804" w:rsidRDefault="00003804" w:rsidP="006F0CE3">
    <w:pPr>
      <w:pStyle w:val="Footer"/>
      <w:tabs>
        <w:tab w:val="clear" w:pos="4513"/>
        <w:tab w:val="left" w:pos="7230"/>
      </w:tabs>
      <w:rPr>
        <w:rFonts w:ascii="Calibri" w:hAnsi="Calibri"/>
        <w:color w:val="808080" w:themeColor="background1" w:themeShade="80"/>
        <w:sz w:val="18"/>
        <w:szCs w:val="18"/>
      </w:rPr>
    </w:pPr>
  </w:p>
  <w:p w14:paraId="2DBD0A11" w14:textId="77777777" w:rsidR="00003804" w:rsidRDefault="00003804" w:rsidP="006F0CE3">
    <w:pPr>
      <w:pStyle w:val="Footer"/>
      <w:pBdr>
        <w:bottom w:val="single" w:sz="4" w:space="1" w:color="070707" w:themeColor="text1"/>
      </w:pBdr>
      <w:tabs>
        <w:tab w:val="clear" w:pos="4513"/>
        <w:tab w:val="left" w:pos="2415"/>
      </w:tabs>
      <w:rPr>
        <w:rFonts w:ascii="Calibri" w:hAnsi="Calibri"/>
        <w:color w:val="808080" w:themeColor="background1" w:themeShade="80"/>
        <w:sz w:val="18"/>
        <w:szCs w:val="18"/>
      </w:rPr>
    </w:pPr>
    <w:r>
      <w:rPr>
        <w:rFonts w:ascii="Calibri" w:hAnsi="Calibri"/>
        <w:color w:val="808080" w:themeColor="background1" w:themeShade="80"/>
        <w:sz w:val="18"/>
        <w:szCs w:val="18"/>
      </w:rPr>
      <w:tab/>
    </w:r>
  </w:p>
  <w:p w14:paraId="4837F56F" w14:textId="77777777" w:rsidR="00003804" w:rsidRPr="00254DCD" w:rsidRDefault="00003804" w:rsidP="006F0CE3">
    <w:pPr>
      <w:pStyle w:val="Footer"/>
      <w:tabs>
        <w:tab w:val="clear" w:pos="4513"/>
        <w:tab w:val="left" w:pos="7230"/>
      </w:tabs>
      <w:rPr>
        <w:rFonts w:ascii="Calibri" w:hAnsi="Calibri"/>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6044"/>
    </w:tblGrid>
    <w:tr w:rsidR="00003804" w14:paraId="17FBD275" w14:textId="77777777" w:rsidTr="00F933F1">
      <w:tc>
        <w:tcPr>
          <w:tcW w:w="2972" w:type="dxa"/>
        </w:tcPr>
        <w:p w14:paraId="25CF7333" w14:textId="77777777" w:rsidR="00003804" w:rsidRDefault="00003804" w:rsidP="006F0CE3">
          <w:pPr>
            <w:spacing w:before="120"/>
            <w:rPr>
              <w:rFonts w:ascii="Century Gothic" w:eastAsiaTheme="minorEastAsia" w:hAnsi="Century Gothic"/>
              <w:noProof/>
              <w:color w:val="5E5E5E"/>
              <w:sz w:val="18"/>
              <w:szCs w:val="18"/>
              <w:lang w:eastAsia="en-GB"/>
            </w:rPr>
          </w:pPr>
          <w:r>
            <w:rPr>
              <w:rFonts w:ascii="Century Gothic" w:eastAsiaTheme="minorEastAsia" w:hAnsi="Century Gothic"/>
              <w:b/>
              <w:noProof/>
              <w:color w:val="7473A9"/>
              <w:sz w:val="18"/>
              <w:szCs w:val="18"/>
              <w:lang w:eastAsia="en-GB"/>
            </w:rPr>
            <w:drawing>
              <wp:inline distT="0" distB="0" distL="0" distR="0" wp14:anchorId="4FCEF106" wp14:editId="510158B5">
                <wp:extent cx="1541721" cy="384789"/>
                <wp:effectExtent l="0" t="0" r="1905" b="0"/>
                <wp:docPr id="60" name="Picture 60" descr="C:\Users\DavidO'Leary\Desktop\IFRA Str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Stri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146" cy="405111"/>
                        </a:xfrm>
                        <a:prstGeom prst="rect">
                          <a:avLst/>
                        </a:prstGeom>
                        <a:noFill/>
                        <a:ln>
                          <a:noFill/>
                        </a:ln>
                      </pic:spPr>
                    </pic:pic>
                  </a:graphicData>
                </a:graphic>
              </wp:inline>
            </w:drawing>
          </w:r>
        </w:p>
      </w:tc>
      <w:tc>
        <w:tcPr>
          <w:tcW w:w="6044" w:type="dxa"/>
        </w:tcPr>
        <w:p w14:paraId="22833722" w14:textId="77777777" w:rsidR="00003804" w:rsidRPr="006F0CE3" w:rsidRDefault="00003804" w:rsidP="000C74E4">
          <w:pPr>
            <w:spacing w:before="280"/>
            <w:rPr>
              <w:rFonts w:ascii="Muli" w:eastAsiaTheme="minorEastAsia" w:hAnsi="Muli"/>
              <w:noProof/>
              <w:sz w:val="18"/>
              <w:szCs w:val="18"/>
              <w:lang w:val="fr-FR" w:eastAsia="en-GB"/>
            </w:rPr>
          </w:pPr>
          <w:r w:rsidRPr="006F0CE3">
            <w:rPr>
              <w:rFonts w:ascii="Muli SemiBold" w:eastAsiaTheme="minorEastAsia" w:hAnsi="Muli SemiBold"/>
              <w:noProof/>
              <w:color w:val="5E5E5E"/>
              <w:sz w:val="18"/>
              <w:szCs w:val="18"/>
              <w:lang w:val="fr-FR" w:eastAsia="en-GB"/>
            </w:rPr>
            <w:t>Headquarters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Rue de la Fontaine 15 | 1204 Geneva | Switzerland</w:t>
          </w:r>
          <w:r w:rsidRPr="006F0CE3">
            <w:rPr>
              <w:rFonts w:ascii="Muli" w:eastAsiaTheme="minorEastAsia" w:hAnsi="Muli"/>
              <w:noProof/>
              <w:color w:val="5E5E5E"/>
              <w:sz w:val="18"/>
              <w:szCs w:val="18"/>
              <w:lang w:val="fr-FR" w:eastAsia="en-GB"/>
            </w:rPr>
            <w:br/>
          </w:r>
          <w:r w:rsidRPr="006F0CE3">
            <w:rPr>
              <w:rFonts w:ascii="Muli SemiBold" w:eastAsiaTheme="minorEastAsia" w:hAnsi="Muli SemiBold"/>
              <w:noProof/>
              <w:color w:val="5E5E5E"/>
              <w:sz w:val="18"/>
              <w:szCs w:val="18"/>
              <w:lang w:val="fr-FR" w:eastAsia="en-GB"/>
            </w:rPr>
            <w:t>Operations</w:t>
          </w:r>
          <w:r w:rsidRPr="006F0CE3">
            <w:rPr>
              <w:rFonts w:ascii="Muli" w:eastAsiaTheme="minorEastAsia" w:hAnsi="Muli"/>
              <w:noProof/>
              <w:color w:val="5E5E5E"/>
              <w:sz w:val="18"/>
              <w:szCs w:val="18"/>
              <w:lang w:val="fr-FR" w:eastAsia="en-GB"/>
            </w:rPr>
            <w:tab/>
          </w:r>
          <w:r w:rsidRPr="006F0CE3">
            <w:rPr>
              <w:rFonts w:ascii="Muli Light" w:eastAsiaTheme="minorEastAsia" w:hAnsi="Muli Light"/>
              <w:noProof/>
              <w:color w:val="5E5E5E"/>
              <w:sz w:val="18"/>
              <w:szCs w:val="18"/>
              <w:lang w:val="fr-FR" w:eastAsia="en-GB"/>
            </w:rPr>
            <w:t>Avenue des Arts 6  | 1210 Brussels  | Belgium</w:t>
          </w:r>
        </w:p>
        <w:p w14:paraId="1EE6D165" w14:textId="460F9B80" w:rsidR="00003804" w:rsidRPr="006F0CE3" w:rsidRDefault="00003804" w:rsidP="006F0CE3">
          <w:pPr>
            <w:spacing w:before="120"/>
            <w:rPr>
              <w:rFonts w:ascii="Muli Light" w:eastAsiaTheme="minorEastAsia" w:hAnsi="Muli Light"/>
              <w:noProof/>
              <w:color w:val="5E5E5E"/>
              <w:sz w:val="18"/>
              <w:szCs w:val="18"/>
              <w:lang w:val="fr-FR" w:eastAsia="en-GB"/>
            </w:rPr>
          </w:pPr>
          <w:r w:rsidRPr="006F0CE3">
            <w:rPr>
              <w:rFonts w:ascii="Muli Light" w:eastAsiaTheme="minorEastAsia" w:hAnsi="Muli Light"/>
              <w:noProof/>
              <w:color w:val="5E5E5E"/>
              <w:sz w:val="18"/>
              <w:szCs w:val="18"/>
              <w:lang w:val="fr-FR" w:eastAsia="en-GB"/>
            </w:rPr>
            <w:t>+32 (0)2 214 20</w:t>
          </w:r>
          <w:r w:rsidR="00AF78C3">
            <w:rPr>
              <w:rFonts w:ascii="Muli Light" w:eastAsiaTheme="minorEastAsia" w:hAnsi="Muli Light"/>
              <w:noProof/>
              <w:color w:val="5E5E5E"/>
              <w:sz w:val="18"/>
              <w:szCs w:val="18"/>
              <w:lang w:val="fr-FR" w:eastAsia="en-GB"/>
            </w:rPr>
            <w:t>60</w:t>
          </w:r>
          <w:r w:rsidRPr="006F0CE3">
            <w:rPr>
              <w:rFonts w:ascii="Muli Light" w:eastAsiaTheme="minorEastAsia" w:hAnsi="Muli Light"/>
              <w:noProof/>
              <w:color w:val="5E5E5E"/>
              <w:sz w:val="18"/>
              <w:szCs w:val="18"/>
              <w:lang w:val="fr-FR" w:eastAsia="en-GB"/>
            </w:rPr>
            <w:t xml:space="preserve">  |  ifraorg.org</w:t>
          </w:r>
        </w:p>
      </w:tc>
    </w:tr>
  </w:tbl>
  <w:p w14:paraId="32C57FE9" w14:textId="77777777" w:rsidR="00003804" w:rsidRPr="006F0CE3" w:rsidRDefault="00003804" w:rsidP="006F0CE3">
    <w:pPr>
      <w:spacing w:after="0" w:line="240" w:lineRule="auto"/>
      <w:rPr>
        <w:rFonts w:ascii="Century Gothic" w:eastAsiaTheme="minorEastAsia" w:hAnsi="Century Gothic"/>
        <w:noProof/>
        <w:color w:val="5E5E5E"/>
        <w:sz w:val="2"/>
        <w:szCs w:val="2"/>
        <w:lang w:eastAsia="en-GB"/>
      </w:rPr>
    </w:pPr>
    <w:r>
      <w:rPr>
        <w:noProof/>
      </w:rPr>
      <mc:AlternateContent>
        <mc:Choice Requires="wpg">
          <w:drawing>
            <wp:anchor distT="0" distB="0" distL="114300" distR="114300" simplePos="0" relativeHeight="251658752" behindDoc="0" locked="0" layoutInCell="1" allowOverlap="1" wp14:anchorId="3BB4F650" wp14:editId="30E3AA59">
              <wp:simplePos x="0" y="0"/>
              <wp:positionH relativeFrom="column">
                <wp:posOffset>-2190</wp:posOffset>
              </wp:positionH>
              <wp:positionV relativeFrom="paragraph">
                <wp:posOffset>378044</wp:posOffset>
              </wp:positionV>
              <wp:extent cx="1541145" cy="76758"/>
              <wp:effectExtent l="0" t="0" r="1905" b="0"/>
              <wp:wrapNone/>
              <wp:docPr id="48" name="Group 33"/>
              <wp:cNvGraphicFramePr/>
              <a:graphic xmlns:a="http://schemas.openxmlformats.org/drawingml/2006/main">
                <a:graphicData uri="http://schemas.microsoft.com/office/word/2010/wordprocessingGroup">
                  <wpg:wgp>
                    <wpg:cNvGrpSpPr/>
                    <wpg:grpSpPr>
                      <a:xfrm>
                        <a:off x="0" y="0"/>
                        <a:ext cx="1541145" cy="76758"/>
                        <a:chOff x="-568777" y="568777"/>
                        <a:chExt cx="7130214" cy="5143500"/>
                      </a:xfrm>
                    </wpg:grpSpPr>
                    <wps:wsp>
                      <wps:cNvPr id="49" name="Rectangle 49"/>
                      <wps:cNvSpPr/>
                      <wps:spPr>
                        <a:xfrm>
                          <a:off x="-568777" y="568777"/>
                          <a:ext cx="1191097" cy="5143499"/>
                        </a:xfrm>
                        <a:prstGeom prst="rect">
                          <a:avLst/>
                        </a:prstGeom>
                        <a:solidFill>
                          <a:schemeClr val="accent1"/>
                        </a:solidFill>
                        <a:ln w="9525" cap="flat" cmpd="sng" algn="ctr">
                          <a:noFill/>
                          <a:prstDash val="solid"/>
                        </a:ln>
                        <a:effectLst/>
                      </wps:spPr>
                      <wps:bodyPr rtlCol="0" anchor="ctr"/>
                    </wps:wsp>
                    <wps:wsp>
                      <wps:cNvPr id="50" name="Rectangle 50"/>
                      <wps:cNvSpPr/>
                      <wps:spPr>
                        <a:xfrm>
                          <a:off x="616864" y="568777"/>
                          <a:ext cx="1191097" cy="5143499"/>
                        </a:xfrm>
                        <a:prstGeom prst="rect">
                          <a:avLst/>
                        </a:prstGeom>
                        <a:solidFill>
                          <a:schemeClr val="accent2"/>
                        </a:solidFill>
                        <a:ln w="9525" cap="flat" cmpd="sng" algn="ctr">
                          <a:noFill/>
                          <a:prstDash val="solid"/>
                        </a:ln>
                        <a:effectLst/>
                      </wps:spPr>
                      <wps:bodyPr rtlCol="0" anchor="ctr"/>
                    </wps:wsp>
                    <wps:wsp>
                      <wps:cNvPr id="51" name="Rectangle 51"/>
                      <wps:cNvSpPr/>
                      <wps:spPr>
                        <a:xfrm>
                          <a:off x="1807961" y="568777"/>
                          <a:ext cx="1191097" cy="5143499"/>
                        </a:xfrm>
                        <a:prstGeom prst="rect">
                          <a:avLst/>
                        </a:prstGeom>
                        <a:solidFill>
                          <a:srgbClr val="5CAB27"/>
                        </a:solidFill>
                        <a:ln w="9525" cap="flat" cmpd="sng" algn="ctr">
                          <a:noFill/>
                          <a:prstDash val="solid"/>
                        </a:ln>
                        <a:effectLst/>
                      </wps:spPr>
                      <wps:bodyPr rtlCol="0" anchor="ctr"/>
                    </wps:wsp>
                    <wps:wsp>
                      <wps:cNvPr id="52" name="Rectangle 52"/>
                      <wps:cNvSpPr/>
                      <wps:spPr>
                        <a:xfrm>
                          <a:off x="2993602" y="568777"/>
                          <a:ext cx="1191097" cy="5143499"/>
                        </a:xfrm>
                        <a:prstGeom prst="rect">
                          <a:avLst/>
                        </a:prstGeom>
                        <a:solidFill>
                          <a:srgbClr val="EEAC2C"/>
                        </a:solidFill>
                        <a:ln w="9525" cap="flat" cmpd="sng" algn="ctr">
                          <a:noFill/>
                          <a:prstDash val="solid"/>
                        </a:ln>
                        <a:effectLst/>
                      </wps:spPr>
                      <wps:bodyPr rtlCol="0" anchor="ctr"/>
                    </wps:wsp>
                    <wps:wsp>
                      <wps:cNvPr id="53" name="Rectangle 53"/>
                      <wps:cNvSpPr/>
                      <wps:spPr>
                        <a:xfrm>
                          <a:off x="4184699" y="568778"/>
                          <a:ext cx="1191097" cy="5143499"/>
                        </a:xfrm>
                        <a:prstGeom prst="rect">
                          <a:avLst/>
                        </a:prstGeom>
                        <a:solidFill>
                          <a:srgbClr val="A2548C"/>
                        </a:solidFill>
                        <a:ln w="9525" cap="flat" cmpd="sng" algn="ctr">
                          <a:noFill/>
                          <a:prstDash val="solid"/>
                        </a:ln>
                        <a:effectLst/>
                      </wps:spPr>
                      <wps:bodyPr rtlCol="0" anchor="ctr"/>
                    </wps:wsp>
                    <wps:wsp>
                      <wps:cNvPr id="54" name="Rectangle 54"/>
                      <wps:cNvSpPr/>
                      <wps:spPr>
                        <a:xfrm>
                          <a:off x="5370340" y="568778"/>
                          <a:ext cx="1191097" cy="5143499"/>
                        </a:xfrm>
                        <a:prstGeom prst="rect">
                          <a:avLst/>
                        </a:prstGeom>
                        <a:solidFill>
                          <a:srgbClr val="3BA4A0"/>
                        </a:solidFill>
                        <a:ln w="9525" cap="flat" cmpd="sng" algn="ctr">
                          <a:no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BC80B67" id="Group 33" o:spid="_x0000_s1026" style="position:absolute;margin-left:-.15pt;margin-top:29.75pt;width:121.35pt;height:6.05pt;z-index:251658752;mso-width-relative:margin;mso-height-relative:margin" coordorigin="-5687,5687" coordsize="71302,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eK8QIAAGoOAAAOAAAAZHJzL2Uyb0RvYy54bWzsV9tO3DAQfa/Uf7DyDrknm4gsWhbKS9Wi&#10;0n6AcZyL5NiRbTbw9x072UBhV6VUglbaF8e3zOWcGXt8cnrXMbShUrWCF45/7DmIciLKlteF8+P7&#10;p6OFg5TGvMRMcFo491Q5p8uPH06GPqeBaAQrqUQghKt86Aun0brPXVeRhnZYHYueclishOywhqGs&#10;3VLiAaR3zA08L3EHIcteCkKVgtnzcdFZWvlVRYn+WlWKasQKB2zTtpW2vTGtuzzBeS1x37RkMgO/&#10;wooOtxyUzqLOscboVrbPRHUtkUKJSh8T0bmiqlpCrQ/gje898eZSitve+lLnQ93PMAG0T3B6tVjy&#10;ZXMlUVsWTgRMcdwBR1YtCkMDztDXOey5lP11fyWniXocGX/vKtmZL3iC7iys9zOs9E4jApN+HPl+&#10;FDuIwFqapPFihJ00wI356yhOFmmaOgjWp67lhTQXk4jUD73Aj0YRsR+FsWe5c7cWuMbQ2a6hh2hS&#10;D4CpvwPsusE9tTwoA8YWsGwL2DcIM8xrRlGUjaDZfTNiKlcA3g649jk+I+dnvpcBMAY543aUWQWz&#10;2zjvpdKXVHTIdApHgik2EPHms9KAImzdbjEGKMHa8lPLmB2YLKNrJtEGQ35gQijXvvEA/vplJ+No&#10;KJwsDgyLGPK0YlhDt+shchSvHYRZDQcA0dJq58LosCQa7edYNaMOK3XSwLgxgtosnYw1xI1Ymd6N&#10;KO8BbKnZWoz5izlpBKSv0WPMnIg2cfoGjMdwgowp8sA4zIEhRj1Exu8ZT/xkkUAcP4n09yQ8OBDO&#10;690pHvs7CLcJ8mLC/YWXZgnIeSfGZX0zJ3i8Xp0F6YHuvXQHO+i26fFiuoMsCxMP5PwDdF9crNbB&#10;+kD3XrrDHXRPVc8Lj/PIX0QJ3Mkz3VNp81bn+ePsXgVxtDjQDa+APYc5XLvPbu/oj27vOEy9MIIq&#10;YJvd70h3eLaKVtsi+P8q1myxDg8aW2dOjy/zYno8tsXdwxNx+RMAAP//AwBQSwMEFAAGAAgAAAAh&#10;APY6gUbfAAAABwEAAA8AAABkcnMvZG93bnJldi54bWxMjsFKw0AURfeC/zA8wV07SdpUjXkppair&#10;ItgK4m6aeU1CM29CZpqkf++40uXlXs49+XoyrRiod41lhHgegSAurW64Qvg8vM4eQTivWKvWMiFc&#10;ycG6uL3JVabtyB807H0lAoRdphBq77tMSlfWZJSb2444dCfbG+VD7CupezUGuGllEkUraVTD4aFW&#10;HW1rKs/7i0F4G9W4WcQvw+582l6/D+n71y4mxPu7afMMwtPk/8bwqx/UoQhOR3th7USLMFuEIUL6&#10;lIIIdbJMliCOCA/xCmSRy//+xQ8AAAD//wMAUEsBAi0AFAAGAAgAAAAhALaDOJL+AAAA4QEAABMA&#10;AAAAAAAAAAAAAAAAAAAAAFtDb250ZW50X1R5cGVzXS54bWxQSwECLQAUAAYACAAAACEAOP0h/9YA&#10;AACUAQAACwAAAAAAAAAAAAAAAAAvAQAAX3JlbHMvLnJlbHNQSwECLQAUAAYACAAAACEAuX5HivEC&#10;AABqDgAADgAAAAAAAAAAAAAAAAAuAgAAZHJzL2Uyb0RvYy54bWxQSwECLQAUAAYACAAAACEA9jqB&#10;Rt8AAAAHAQAADwAAAAAAAAAAAAAAAABLBQAAZHJzL2Rvd25yZXYueG1sUEsFBgAAAAAEAAQA8wAA&#10;AFcGAAAAAA==&#10;">
              <v:rect id="Rectangle 49" o:spid="_x0000_s1027" style="position:absolute;left:-5687;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qlwgAAANsAAAAPAAAAZHJzL2Rvd25yZXYueG1sRI/RisIw&#10;FETfF/yHcIV9W1OLiFZTEbGij2v9gGtzbYvNTW2ytf69WVjYx2FmzjDrzWAa0VPnassKppMIBHFh&#10;dc2lgkuefS1AOI+ssbFMCl7kYJOOPtaYaPvkb+rPvhQBwi5BBZX3bSKlKyoy6Ca2JQ7ezXYGfZBd&#10;KXWHzwA3jYyjaC4N1hwWKmxpV1FxP/8YBTwrF/mjj+LhcJ0fslN82d4ee6U+x8N2BcLT4P/Df+2j&#10;VjBbwu+X8ANk+gYAAP//AwBQSwECLQAUAAYACAAAACEA2+H2y+4AAACFAQAAEwAAAAAAAAAAAAAA&#10;AAAAAAAAW0NvbnRlbnRfVHlwZXNdLnhtbFBLAQItABQABgAIAAAAIQBa9CxbvwAAABUBAAALAAAA&#10;AAAAAAAAAAAAAB8BAABfcmVscy8ucmVsc1BLAQItABQABgAIAAAAIQBTg3qlwgAAANsAAAAPAAAA&#10;AAAAAAAAAAAAAAcCAABkcnMvZG93bnJldi54bWxQSwUGAAAAAAMAAwC3AAAA9gIAAAAA&#10;" fillcolor="#052eb3 [3204]" stroked="f"/>
              <v:rect id="Rectangle 50" o:spid="_x0000_s1028" style="position:absolute;left:6168;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kzwAAAANsAAAAPAAAAZHJzL2Rvd25yZXYueG1sRE/dasIw&#10;FL4XfIdwBruzqcJkdKalTIaCoFP7AIfm2JQ1J10Ttb69uRjs8uP7XxWj7cSNBt86VjBPUhDEtdMt&#10;Nwqq89fsHYQPyBo7x6TgQR6KfDpZYabdnY90O4VGxBD2GSowIfSZlL42ZNEnrieO3MUNFkOEQyP1&#10;gPcYbju5SNOltNhybDDY06eh+ud0tQpq/D3vHnQw+3JTree6OXz35UWp15ex/AARaAz/4j/3Vit4&#10;i+vjl/gDZP4EAAD//wMAUEsBAi0AFAAGAAgAAAAhANvh9svuAAAAhQEAABMAAAAAAAAAAAAAAAAA&#10;AAAAAFtDb250ZW50X1R5cGVzXS54bWxQSwECLQAUAAYACAAAACEAWvQsW78AAAAVAQAACwAAAAAA&#10;AAAAAAAAAAAfAQAAX3JlbHMvLnJlbHNQSwECLQAUAAYACAAAACEAKa0ZM8AAAADbAAAADwAAAAAA&#10;AAAAAAAAAAAHAgAAZHJzL2Rvd25yZXYueG1sUEsFBgAAAAADAAMAtwAAAPQCAAAAAA==&#10;" fillcolor="#e94545 [3205]" stroked="f"/>
              <v:rect id="Rectangle 51" o:spid="_x0000_s1029" style="position:absolute;left:18079;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0txAAAANsAAAAPAAAAZHJzL2Rvd25yZXYueG1sRI9Ba8JA&#10;FITvBf/D8gRvzcZiQ0ldRYRCD15iPXh8zb5m02bfrtmtif56t1DwOMzMN8xyPdpOnKkPrWMF8ywH&#10;QVw73XKj4PDx9vgCIkRkjZ1jUnChAOvV5GGJpXYDV3Tex0YkCIcSFZgYfSllqA1ZDJnzxMn7cr3F&#10;mGTfSN3jkOC2k095XkiLLacFg562huqf/a9VcD0Vl+K70tfjp9/mi91g7OArpWbTcfMKItIY7+H/&#10;9rtW8DyHvy/pB8jVDQAA//8DAFBLAQItABQABgAIAAAAIQDb4fbL7gAAAIUBAAATAAAAAAAAAAAA&#10;AAAAAAAAAABbQ29udGVudF9UeXBlc10ueG1sUEsBAi0AFAAGAAgAAAAhAFr0LFu/AAAAFQEAAAsA&#10;AAAAAAAAAAAAAAAAHwEAAF9yZWxzLy5yZWxzUEsBAi0AFAAGAAgAAAAhAKi0XS3EAAAA2wAAAA8A&#10;AAAAAAAAAAAAAAAABwIAAGRycy9kb3ducmV2LnhtbFBLBQYAAAAAAwADALcAAAD4AgAAAAA=&#10;" fillcolor="#5cab27" stroked="f"/>
              <v:rect id="Rectangle 52" o:spid="_x0000_s1030" style="position:absolute;left:29936;top:5687;width:11910;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WCxAAAANsAAAAPAAAAZHJzL2Rvd25yZXYueG1sRI9Pa8JA&#10;FMTvQr/D8gpepG4aUNvUjYggaG/+ac+P7GuyJPs2zW5j/PZuQfA4zMxvmOVqsI3oqfPGsYLXaQKC&#10;uHDacKngfNq+vIHwAVlj45gUXMnDKn8aLTHT7sIH6o+hFBHCPkMFVQhtJqUvKrLop64ljt6P6yyG&#10;KLtS6g4vEW4bmSbJXFo0HBcqbGlTUVEf/6yC0+TrXRpz+P00i7T9rjf9frbulRo/D+sPEIGG8Ajf&#10;2zutYJbC/5f4A2R+AwAA//8DAFBLAQItABQABgAIAAAAIQDb4fbL7gAAAIUBAAATAAAAAAAAAAAA&#10;AAAAAAAAAABbQ29udGVudF9UeXBlc10ueG1sUEsBAi0AFAAGAAgAAAAhAFr0LFu/AAAAFQEAAAsA&#10;AAAAAAAAAAAAAAAAHwEAAF9yZWxzLy5yZWxzUEsBAi0AFAAGAAgAAAAhANGphYLEAAAA2wAAAA8A&#10;AAAAAAAAAAAAAAAABwIAAGRycy9kb3ducmV2LnhtbFBLBQYAAAAAAwADALcAAAD4AgAAAAA=&#10;" fillcolor="#eeac2c" stroked="f"/>
              <v:rect id="Rectangle 53" o:spid="_x0000_s1031" style="position:absolute;left:41846;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B5xwAAANsAAAAPAAAAZHJzL2Rvd25yZXYueG1sRI9fS8NA&#10;EMTfC/0Oxxb61l5qUWrstRStItg/WAvatyW3TYK5vZBb0/jtPUHwcZiZ3zDzZecq1VITSs8GJuME&#10;FHHmbcm5gePb42gGKgiyxcozGfimAMtFvzfH1PoLv1J7kFxFCIcUDRQidap1yApyGMa+Jo7e2TcO&#10;Jcom17bBS4S7Sl8lyY12WHJcKLCm+4Kyz8OXMzA97p7yzcfDy749ve/EbWV/u7bGDAfd6g6UUCf/&#10;4b/2szVwPYXfL/EH6MUPAAAA//8DAFBLAQItABQABgAIAAAAIQDb4fbL7gAAAIUBAAATAAAAAAAA&#10;AAAAAAAAAAAAAABbQ29udGVudF9UeXBlc10ueG1sUEsBAi0AFAAGAAgAAAAhAFr0LFu/AAAAFQEA&#10;AAsAAAAAAAAAAAAAAAAAHwEAAF9yZWxzLy5yZWxzUEsBAi0AFAAGAAgAAAAhADGfgHnHAAAA2wAA&#10;AA8AAAAAAAAAAAAAAAAABwIAAGRycy9kb3ducmV2LnhtbFBLBQYAAAAAAwADALcAAAD7AgAAAAA=&#10;" fillcolor="#a2548c" stroked="f"/>
              <v:rect id="Rectangle 54" o:spid="_x0000_s1032" style="position:absolute;left:53703;top:5687;width:11911;height:5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J3wQAAANsAAAAPAAAAZHJzL2Rvd25yZXYueG1sRI9Bi8Iw&#10;FITvgv8hPMGbpq66LN2moqLi0W297O3RvG2LzUtpslr/vREEj8PMfMMkq9404kqdqy0rmE0jEMSF&#10;1TWXCs75fvIFwnlkjY1lUnAnB6t0OEgw1vbGP3TNfCkChF2MCirv21hKV1Rk0E1tSxy8P9sZ9EF2&#10;pdQd3gLcNPIjij6lwZrDQoUtbSsqLtm/CRS729V6k89P+pwdto5+7+1xqdR41K+/QXjq/Tv8ah+1&#10;guUCnl/CD5DpAwAA//8DAFBLAQItABQABgAIAAAAIQDb4fbL7gAAAIUBAAATAAAAAAAAAAAAAAAA&#10;AAAAAABbQ29udGVudF9UeXBlc10ueG1sUEsBAi0AFAAGAAgAAAAhAFr0LFu/AAAAFQEAAAsAAAAA&#10;AAAAAAAAAAAAHwEAAF9yZWxzLy5yZWxzUEsBAi0AFAAGAAgAAAAhAK6XInfBAAAA2wAAAA8AAAAA&#10;AAAAAAAAAAAABwIAAGRycy9kb3ducmV2LnhtbFBLBQYAAAAAAwADALcAAAD1AgAAAAA=&#10;" fillcolor="#3ba4a0" stroked="f"/>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281EA" w14:textId="77777777" w:rsidR="00B0014F" w:rsidRDefault="00B0014F" w:rsidP="006F0CE3">
      <w:pPr>
        <w:spacing w:after="0" w:line="240" w:lineRule="auto"/>
      </w:pPr>
      <w:r>
        <w:separator/>
      </w:r>
    </w:p>
  </w:footnote>
  <w:footnote w:type="continuationSeparator" w:id="0">
    <w:p w14:paraId="4CBBE2F0" w14:textId="77777777" w:rsidR="00B0014F" w:rsidRDefault="00B0014F" w:rsidP="006F0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335C" w14:textId="073A9565" w:rsidR="00003804" w:rsidRDefault="00003804">
    <w:pPr>
      <w:pStyle w:val="Header"/>
    </w:pPr>
    <w:r>
      <w:rPr>
        <w:rFonts w:ascii="Times New Roman" w:eastAsia="Times New Roman" w:hAnsi="Times New Roman"/>
        <w:noProof/>
        <w:sz w:val="24"/>
        <w:lang w:val="fr-FR" w:eastAsia="fr-FR"/>
      </w:rPr>
      <w:drawing>
        <wp:inline distT="0" distB="0" distL="0" distR="0" wp14:anchorId="7FD28CCD" wp14:editId="4B709114">
          <wp:extent cx="747007" cy="6381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O'Leary\Desktop\IFRA Europ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7007" cy="638121"/>
                  </a:xfrm>
                  <a:prstGeom prst="rect">
                    <a:avLst/>
                  </a:prstGeom>
                  <a:noFill/>
                  <a:ln>
                    <a:noFill/>
                  </a:ln>
                </pic:spPr>
              </pic:pic>
            </a:graphicData>
          </a:graphic>
        </wp:inline>
      </w:drawing>
    </w:r>
  </w:p>
  <w:p w14:paraId="34D711FC" w14:textId="77777777" w:rsidR="00003804" w:rsidRDefault="00003804">
    <w:pPr>
      <w:pStyle w:val="Header"/>
    </w:pPr>
  </w:p>
  <w:p w14:paraId="39D9C7EA" w14:textId="77777777" w:rsidR="00003804" w:rsidRDefault="000038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49B58" w14:textId="77777777" w:rsidR="00003804" w:rsidRDefault="00003804">
    <w:pPr>
      <w:pStyle w:val="Header"/>
    </w:pPr>
    <w:r>
      <w:rPr>
        <w:noProof/>
      </w:rPr>
      <w:drawing>
        <wp:inline distT="0" distB="0" distL="0" distR="0" wp14:anchorId="3A15AB23" wp14:editId="6C53396D">
          <wp:extent cx="1828800" cy="1099127"/>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RA Stacked (1).png"/>
                  <pic:cNvPicPr/>
                </pic:nvPicPr>
                <pic:blipFill>
                  <a:blip r:embed="rId1">
                    <a:extLst>
                      <a:ext uri="{28A0092B-C50C-407E-A947-70E740481C1C}">
                        <a14:useLocalDpi xmlns:a14="http://schemas.microsoft.com/office/drawing/2010/main" val="0"/>
                      </a:ext>
                    </a:extLst>
                  </a:blip>
                  <a:stretch>
                    <a:fillRect/>
                  </a:stretch>
                </pic:blipFill>
                <pic:spPr>
                  <a:xfrm>
                    <a:off x="0" y="0"/>
                    <a:ext cx="1903434" cy="11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3849"/>
    <w:multiLevelType w:val="hybridMultilevel"/>
    <w:tmpl w:val="2A160E6E"/>
    <w:lvl w:ilvl="0" w:tplc="62C2006E">
      <w:start w:val="3"/>
      <w:numFmt w:val="upperLetter"/>
      <w:lvlText w:val="%1."/>
      <w:lvlJc w:val="left"/>
      <w:pPr>
        <w:ind w:left="1287" w:hanging="360"/>
      </w:pPr>
      <w:rPr>
        <w:rFonts w:hint="default"/>
      </w:rPr>
    </w:lvl>
    <w:lvl w:ilvl="1" w:tplc="F1DE7CB0" w:tentative="1">
      <w:start w:val="1"/>
      <w:numFmt w:val="lowerLetter"/>
      <w:lvlText w:val="%2."/>
      <w:lvlJc w:val="left"/>
      <w:pPr>
        <w:ind w:left="1440" w:hanging="360"/>
      </w:pPr>
    </w:lvl>
    <w:lvl w:ilvl="2" w:tplc="041E6D42" w:tentative="1">
      <w:start w:val="1"/>
      <w:numFmt w:val="lowerRoman"/>
      <w:lvlText w:val="%3."/>
      <w:lvlJc w:val="right"/>
      <w:pPr>
        <w:ind w:left="2160" w:hanging="180"/>
      </w:pPr>
    </w:lvl>
    <w:lvl w:ilvl="3" w:tplc="0DC46F0A" w:tentative="1">
      <w:start w:val="1"/>
      <w:numFmt w:val="decimal"/>
      <w:lvlText w:val="%4."/>
      <w:lvlJc w:val="left"/>
      <w:pPr>
        <w:ind w:left="2880" w:hanging="360"/>
      </w:pPr>
    </w:lvl>
    <w:lvl w:ilvl="4" w:tplc="37BCA14C" w:tentative="1">
      <w:start w:val="1"/>
      <w:numFmt w:val="lowerLetter"/>
      <w:lvlText w:val="%5."/>
      <w:lvlJc w:val="left"/>
      <w:pPr>
        <w:ind w:left="3600" w:hanging="360"/>
      </w:pPr>
    </w:lvl>
    <w:lvl w:ilvl="5" w:tplc="8002324E" w:tentative="1">
      <w:start w:val="1"/>
      <w:numFmt w:val="lowerRoman"/>
      <w:lvlText w:val="%6."/>
      <w:lvlJc w:val="right"/>
      <w:pPr>
        <w:ind w:left="4320" w:hanging="180"/>
      </w:pPr>
    </w:lvl>
    <w:lvl w:ilvl="6" w:tplc="202A2BC2" w:tentative="1">
      <w:start w:val="1"/>
      <w:numFmt w:val="decimal"/>
      <w:lvlText w:val="%7."/>
      <w:lvlJc w:val="left"/>
      <w:pPr>
        <w:ind w:left="5040" w:hanging="360"/>
      </w:pPr>
    </w:lvl>
    <w:lvl w:ilvl="7" w:tplc="008AF786" w:tentative="1">
      <w:start w:val="1"/>
      <w:numFmt w:val="lowerLetter"/>
      <w:lvlText w:val="%8."/>
      <w:lvlJc w:val="left"/>
      <w:pPr>
        <w:ind w:left="5760" w:hanging="360"/>
      </w:pPr>
    </w:lvl>
    <w:lvl w:ilvl="8" w:tplc="8BF014D0" w:tentative="1">
      <w:start w:val="1"/>
      <w:numFmt w:val="lowerRoman"/>
      <w:lvlText w:val="%9."/>
      <w:lvlJc w:val="right"/>
      <w:pPr>
        <w:ind w:left="6480" w:hanging="180"/>
      </w:pPr>
    </w:lvl>
  </w:abstractNum>
  <w:abstractNum w:abstractNumId="1" w15:restartNumberingAfterBreak="0">
    <w:nsid w:val="04E97C10"/>
    <w:multiLevelType w:val="hybridMultilevel"/>
    <w:tmpl w:val="9B404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DE3E0B"/>
    <w:multiLevelType w:val="hybridMultilevel"/>
    <w:tmpl w:val="61960D8E"/>
    <w:lvl w:ilvl="0" w:tplc="676275EE">
      <w:start w:val="1"/>
      <w:numFmt w:val="decimal"/>
      <w:lvlText w:val="%1."/>
      <w:lvlJc w:val="left"/>
      <w:pPr>
        <w:ind w:left="1287" w:hanging="360"/>
      </w:pPr>
      <w:rPr>
        <w:b w:val="0"/>
        <w:bCs w:val="0"/>
      </w:rPr>
    </w:lvl>
    <w:lvl w:ilvl="1" w:tplc="BD7E1B2E" w:tentative="1">
      <w:start w:val="1"/>
      <w:numFmt w:val="lowerLetter"/>
      <w:lvlText w:val="%2."/>
      <w:lvlJc w:val="left"/>
      <w:pPr>
        <w:ind w:left="2007" w:hanging="360"/>
      </w:pPr>
    </w:lvl>
    <w:lvl w:ilvl="2" w:tplc="09FECD46" w:tentative="1">
      <w:start w:val="1"/>
      <w:numFmt w:val="lowerRoman"/>
      <w:lvlText w:val="%3."/>
      <w:lvlJc w:val="right"/>
      <w:pPr>
        <w:ind w:left="2727" w:hanging="180"/>
      </w:pPr>
    </w:lvl>
    <w:lvl w:ilvl="3" w:tplc="83446886" w:tentative="1">
      <w:start w:val="1"/>
      <w:numFmt w:val="decimal"/>
      <w:lvlText w:val="%4."/>
      <w:lvlJc w:val="left"/>
      <w:pPr>
        <w:ind w:left="3447" w:hanging="360"/>
      </w:pPr>
    </w:lvl>
    <w:lvl w:ilvl="4" w:tplc="795A17C2" w:tentative="1">
      <w:start w:val="1"/>
      <w:numFmt w:val="lowerLetter"/>
      <w:lvlText w:val="%5."/>
      <w:lvlJc w:val="left"/>
      <w:pPr>
        <w:ind w:left="4167" w:hanging="360"/>
      </w:pPr>
    </w:lvl>
    <w:lvl w:ilvl="5" w:tplc="C07875F4" w:tentative="1">
      <w:start w:val="1"/>
      <w:numFmt w:val="lowerRoman"/>
      <w:lvlText w:val="%6."/>
      <w:lvlJc w:val="right"/>
      <w:pPr>
        <w:ind w:left="4887" w:hanging="180"/>
      </w:pPr>
    </w:lvl>
    <w:lvl w:ilvl="6" w:tplc="708C3310" w:tentative="1">
      <w:start w:val="1"/>
      <w:numFmt w:val="decimal"/>
      <w:lvlText w:val="%7."/>
      <w:lvlJc w:val="left"/>
      <w:pPr>
        <w:ind w:left="5607" w:hanging="360"/>
      </w:pPr>
    </w:lvl>
    <w:lvl w:ilvl="7" w:tplc="376CB9D6" w:tentative="1">
      <w:start w:val="1"/>
      <w:numFmt w:val="lowerLetter"/>
      <w:lvlText w:val="%8."/>
      <w:lvlJc w:val="left"/>
      <w:pPr>
        <w:ind w:left="6327" w:hanging="360"/>
      </w:pPr>
    </w:lvl>
    <w:lvl w:ilvl="8" w:tplc="C88AE50A" w:tentative="1">
      <w:start w:val="1"/>
      <w:numFmt w:val="lowerRoman"/>
      <w:lvlText w:val="%9."/>
      <w:lvlJc w:val="right"/>
      <w:pPr>
        <w:ind w:left="7047" w:hanging="180"/>
      </w:pPr>
    </w:lvl>
  </w:abstractNum>
  <w:abstractNum w:abstractNumId="3" w15:restartNumberingAfterBreak="0">
    <w:nsid w:val="16AD1BE1"/>
    <w:multiLevelType w:val="hybridMultilevel"/>
    <w:tmpl w:val="8432F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DF0DCA"/>
    <w:multiLevelType w:val="hybridMultilevel"/>
    <w:tmpl w:val="4764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4265E"/>
    <w:multiLevelType w:val="hybridMultilevel"/>
    <w:tmpl w:val="8B0265C0"/>
    <w:lvl w:ilvl="0" w:tplc="E2C8B664">
      <w:start w:val="1"/>
      <w:numFmt w:val="upperLetter"/>
      <w:lvlText w:val="%1."/>
      <w:lvlJc w:val="left"/>
      <w:pPr>
        <w:ind w:left="1287" w:hanging="360"/>
      </w:pPr>
      <w:rPr>
        <w:b/>
        <w:bCs/>
      </w:rPr>
    </w:lvl>
    <w:lvl w:ilvl="1" w:tplc="923EE02A" w:tentative="1">
      <w:start w:val="1"/>
      <w:numFmt w:val="lowerLetter"/>
      <w:lvlText w:val="%2."/>
      <w:lvlJc w:val="left"/>
      <w:pPr>
        <w:ind w:left="2007" w:hanging="360"/>
      </w:pPr>
    </w:lvl>
    <w:lvl w:ilvl="2" w:tplc="26B68422" w:tentative="1">
      <w:start w:val="1"/>
      <w:numFmt w:val="lowerRoman"/>
      <w:lvlText w:val="%3."/>
      <w:lvlJc w:val="right"/>
      <w:pPr>
        <w:ind w:left="2727" w:hanging="180"/>
      </w:pPr>
    </w:lvl>
    <w:lvl w:ilvl="3" w:tplc="ADD69EF4" w:tentative="1">
      <w:start w:val="1"/>
      <w:numFmt w:val="decimal"/>
      <w:lvlText w:val="%4."/>
      <w:lvlJc w:val="left"/>
      <w:pPr>
        <w:ind w:left="3447" w:hanging="360"/>
      </w:pPr>
    </w:lvl>
    <w:lvl w:ilvl="4" w:tplc="6D96A0DE" w:tentative="1">
      <w:start w:val="1"/>
      <w:numFmt w:val="lowerLetter"/>
      <w:lvlText w:val="%5."/>
      <w:lvlJc w:val="left"/>
      <w:pPr>
        <w:ind w:left="4167" w:hanging="360"/>
      </w:pPr>
    </w:lvl>
    <w:lvl w:ilvl="5" w:tplc="0EDA29BA" w:tentative="1">
      <w:start w:val="1"/>
      <w:numFmt w:val="lowerRoman"/>
      <w:lvlText w:val="%6."/>
      <w:lvlJc w:val="right"/>
      <w:pPr>
        <w:ind w:left="4887" w:hanging="180"/>
      </w:pPr>
    </w:lvl>
    <w:lvl w:ilvl="6" w:tplc="3AE2427A" w:tentative="1">
      <w:start w:val="1"/>
      <w:numFmt w:val="decimal"/>
      <w:lvlText w:val="%7."/>
      <w:lvlJc w:val="left"/>
      <w:pPr>
        <w:ind w:left="5607" w:hanging="360"/>
      </w:pPr>
    </w:lvl>
    <w:lvl w:ilvl="7" w:tplc="D05AB676" w:tentative="1">
      <w:start w:val="1"/>
      <w:numFmt w:val="lowerLetter"/>
      <w:lvlText w:val="%8."/>
      <w:lvlJc w:val="left"/>
      <w:pPr>
        <w:ind w:left="6327" w:hanging="360"/>
      </w:pPr>
    </w:lvl>
    <w:lvl w:ilvl="8" w:tplc="410014D4" w:tentative="1">
      <w:start w:val="1"/>
      <w:numFmt w:val="lowerRoman"/>
      <w:lvlText w:val="%9."/>
      <w:lvlJc w:val="right"/>
      <w:pPr>
        <w:ind w:left="7047" w:hanging="180"/>
      </w:pPr>
    </w:lvl>
  </w:abstractNum>
  <w:abstractNum w:abstractNumId="6" w15:restartNumberingAfterBreak="0">
    <w:nsid w:val="2B8973CE"/>
    <w:multiLevelType w:val="hybridMultilevel"/>
    <w:tmpl w:val="D9B8018C"/>
    <w:lvl w:ilvl="0" w:tplc="4DDA36B2">
      <w:start w:val="2"/>
      <w:numFmt w:val="upperLetter"/>
      <w:lvlText w:val="%1."/>
      <w:lvlJc w:val="left"/>
      <w:pPr>
        <w:ind w:left="1287" w:hanging="360"/>
      </w:pPr>
      <w:rPr>
        <w:rFonts w:hint="default"/>
      </w:rPr>
    </w:lvl>
    <w:lvl w:ilvl="1" w:tplc="CBFE7E1E" w:tentative="1">
      <w:start w:val="1"/>
      <w:numFmt w:val="lowerLetter"/>
      <w:lvlText w:val="%2."/>
      <w:lvlJc w:val="left"/>
      <w:pPr>
        <w:ind w:left="1440" w:hanging="360"/>
      </w:pPr>
    </w:lvl>
    <w:lvl w:ilvl="2" w:tplc="C10461F0" w:tentative="1">
      <w:start w:val="1"/>
      <w:numFmt w:val="lowerRoman"/>
      <w:lvlText w:val="%3."/>
      <w:lvlJc w:val="right"/>
      <w:pPr>
        <w:ind w:left="2160" w:hanging="180"/>
      </w:pPr>
    </w:lvl>
    <w:lvl w:ilvl="3" w:tplc="B540F5AC" w:tentative="1">
      <w:start w:val="1"/>
      <w:numFmt w:val="decimal"/>
      <w:lvlText w:val="%4."/>
      <w:lvlJc w:val="left"/>
      <w:pPr>
        <w:ind w:left="2880" w:hanging="360"/>
      </w:pPr>
    </w:lvl>
    <w:lvl w:ilvl="4" w:tplc="6FC68236" w:tentative="1">
      <w:start w:val="1"/>
      <w:numFmt w:val="lowerLetter"/>
      <w:lvlText w:val="%5."/>
      <w:lvlJc w:val="left"/>
      <w:pPr>
        <w:ind w:left="3600" w:hanging="360"/>
      </w:pPr>
    </w:lvl>
    <w:lvl w:ilvl="5" w:tplc="B60EDD64" w:tentative="1">
      <w:start w:val="1"/>
      <w:numFmt w:val="lowerRoman"/>
      <w:lvlText w:val="%6."/>
      <w:lvlJc w:val="right"/>
      <w:pPr>
        <w:ind w:left="4320" w:hanging="180"/>
      </w:pPr>
    </w:lvl>
    <w:lvl w:ilvl="6" w:tplc="083E8B2E" w:tentative="1">
      <w:start w:val="1"/>
      <w:numFmt w:val="decimal"/>
      <w:lvlText w:val="%7."/>
      <w:lvlJc w:val="left"/>
      <w:pPr>
        <w:ind w:left="5040" w:hanging="360"/>
      </w:pPr>
    </w:lvl>
    <w:lvl w:ilvl="7" w:tplc="DC9E4514" w:tentative="1">
      <w:start w:val="1"/>
      <w:numFmt w:val="lowerLetter"/>
      <w:lvlText w:val="%8."/>
      <w:lvlJc w:val="left"/>
      <w:pPr>
        <w:ind w:left="5760" w:hanging="360"/>
      </w:pPr>
    </w:lvl>
    <w:lvl w:ilvl="8" w:tplc="9B4886C0" w:tentative="1">
      <w:start w:val="1"/>
      <w:numFmt w:val="lowerRoman"/>
      <w:lvlText w:val="%9."/>
      <w:lvlJc w:val="right"/>
      <w:pPr>
        <w:ind w:left="6480" w:hanging="180"/>
      </w:pPr>
    </w:lvl>
  </w:abstractNum>
  <w:abstractNum w:abstractNumId="7" w15:restartNumberingAfterBreak="0">
    <w:nsid w:val="3F032152"/>
    <w:multiLevelType w:val="hybridMultilevel"/>
    <w:tmpl w:val="F4EA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463B7E"/>
    <w:multiLevelType w:val="hybridMultilevel"/>
    <w:tmpl w:val="2DBE3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E90C36"/>
    <w:multiLevelType w:val="hybridMultilevel"/>
    <w:tmpl w:val="6100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23EFA"/>
    <w:multiLevelType w:val="hybridMultilevel"/>
    <w:tmpl w:val="9FD43108"/>
    <w:lvl w:ilvl="0" w:tplc="29E82C68">
      <w:start w:val="1"/>
      <w:numFmt w:val="decimal"/>
      <w:lvlText w:val="%1."/>
      <w:lvlJc w:val="left"/>
      <w:pPr>
        <w:ind w:left="1287" w:hanging="360"/>
      </w:pPr>
    </w:lvl>
    <w:lvl w:ilvl="1" w:tplc="09DA62FA" w:tentative="1">
      <w:start w:val="1"/>
      <w:numFmt w:val="lowerLetter"/>
      <w:lvlText w:val="%2."/>
      <w:lvlJc w:val="left"/>
      <w:pPr>
        <w:ind w:left="2007" w:hanging="360"/>
      </w:pPr>
    </w:lvl>
    <w:lvl w:ilvl="2" w:tplc="85B29EC8" w:tentative="1">
      <w:start w:val="1"/>
      <w:numFmt w:val="lowerRoman"/>
      <w:lvlText w:val="%3."/>
      <w:lvlJc w:val="right"/>
      <w:pPr>
        <w:ind w:left="2727" w:hanging="180"/>
      </w:pPr>
    </w:lvl>
    <w:lvl w:ilvl="3" w:tplc="049E63FA" w:tentative="1">
      <w:start w:val="1"/>
      <w:numFmt w:val="decimal"/>
      <w:lvlText w:val="%4."/>
      <w:lvlJc w:val="left"/>
      <w:pPr>
        <w:ind w:left="3447" w:hanging="360"/>
      </w:pPr>
    </w:lvl>
    <w:lvl w:ilvl="4" w:tplc="E970FAD0" w:tentative="1">
      <w:start w:val="1"/>
      <w:numFmt w:val="lowerLetter"/>
      <w:lvlText w:val="%5."/>
      <w:lvlJc w:val="left"/>
      <w:pPr>
        <w:ind w:left="4167" w:hanging="360"/>
      </w:pPr>
    </w:lvl>
    <w:lvl w:ilvl="5" w:tplc="CA4EA75A" w:tentative="1">
      <w:start w:val="1"/>
      <w:numFmt w:val="lowerRoman"/>
      <w:lvlText w:val="%6."/>
      <w:lvlJc w:val="right"/>
      <w:pPr>
        <w:ind w:left="4887" w:hanging="180"/>
      </w:pPr>
    </w:lvl>
    <w:lvl w:ilvl="6" w:tplc="9DF2FA1E" w:tentative="1">
      <w:start w:val="1"/>
      <w:numFmt w:val="decimal"/>
      <w:lvlText w:val="%7."/>
      <w:lvlJc w:val="left"/>
      <w:pPr>
        <w:ind w:left="5607" w:hanging="360"/>
      </w:pPr>
    </w:lvl>
    <w:lvl w:ilvl="7" w:tplc="199A99D6" w:tentative="1">
      <w:start w:val="1"/>
      <w:numFmt w:val="lowerLetter"/>
      <w:lvlText w:val="%8."/>
      <w:lvlJc w:val="left"/>
      <w:pPr>
        <w:ind w:left="6327" w:hanging="360"/>
      </w:pPr>
    </w:lvl>
    <w:lvl w:ilvl="8" w:tplc="1F102C46" w:tentative="1">
      <w:start w:val="1"/>
      <w:numFmt w:val="lowerRoman"/>
      <w:lvlText w:val="%9."/>
      <w:lvlJc w:val="right"/>
      <w:pPr>
        <w:ind w:left="7047" w:hanging="180"/>
      </w:pPr>
    </w:lvl>
  </w:abstractNum>
  <w:abstractNum w:abstractNumId="11" w15:restartNumberingAfterBreak="0">
    <w:nsid w:val="52C8171A"/>
    <w:multiLevelType w:val="hybridMultilevel"/>
    <w:tmpl w:val="F76A25CC"/>
    <w:lvl w:ilvl="0" w:tplc="1F6A97B6">
      <w:start w:val="1"/>
      <w:numFmt w:val="decimal"/>
      <w:lvlText w:val="%1."/>
      <w:lvlJc w:val="left"/>
      <w:pPr>
        <w:ind w:left="1287" w:hanging="360"/>
      </w:pPr>
      <w:rPr>
        <w:b w:val="0"/>
        <w:bCs w:val="0"/>
      </w:rPr>
    </w:lvl>
    <w:lvl w:ilvl="1" w:tplc="A28EC7C6" w:tentative="1">
      <w:start w:val="1"/>
      <w:numFmt w:val="lowerLetter"/>
      <w:lvlText w:val="%2."/>
      <w:lvlJc w:val="left"/>
      <w:pPr>
        <w:ind w:left="2007" w:hanging="360"/>
      </w:pPr>
    </w:lvl>
    <w:lvl w:ilvl="2" w:tplc="7F00BBFE" w:tentative="1">
      <w:start w:val="1"/>
      <w:numFmt w:val="lowerRoman"/>
      <w:lvlText w:val="%3."/>
      <w:lvlJc w:val="right"/>
      <w:pPr>
        <w:ind w:left="2727" w:hanging="180"/>
      </w:pPr>
    </w:lvl>
    <w:lvl w:ilvl="3" w:tplc="6E8EB146" w:tentative="1">
      <w:start w:val="1"/>
      <w:numFmt w:val="decimal"/>
      <w:lvlText w:val="%4."/>
      <w:lvlJc w:val="left"/>
      <w:pPr>
        <w:ind w:left="3447" w:hanging="360"/>
      </w:pPr>
    </w:lvl>
    <w:lvl w:ilvl="4" w:tplc="46EE924E" w:tentative="1">
      <w:start w:val="1"/>
      <w:numFmt w:val="lowerLetter"/>
      <w:lvlText w:val="%5."/>
      <w:lvlJc w:val="left"/>
      <w:pPr>
        <w:ind w:left="4167" w:hanging="360"/>
      </w:pPr>
    </w:lvl>
    <w:lvl w:ilvl="5" w:tplc="484880F6" w:tentative="1">
      <w:start w:val="1"/>
      <w:numFmt w:val="lowerRoman"/>
      <w:lvlText w:val="%6."/>
      <w:lvlJc w:val="right"/>
      <w:pPr>
        <w:ind w:left="4887" w:hanging="180"/>
      </w:pPr>
    </w:lvl>
    <w:lvl w:ilvl="6" w:tplc="F55A4092" w:tentative="1">
      <w:start w:val="1"/>
      <w:numFmt w:val="decimal"/>
      <w:lvlText w:val="%7."/>
      <w:lvlJc w:val="left"/>
      <w:pPr>
        <w:ind w:left="5607" w:hanging="360"/>
      </w:pPr>
    </w:lvl>
    <w:lvl w:ilvl="7" w:tplc="A0127322" w:tentative="1">
      <w:start w:val="1"/>
      <w:numFmt w:val="lowerLetter"/>
      <w:lvlText w:val="%8."/>
      <w:lvlJc w:val="left"/>
      <w:pPr>
        <w:ind w:left="6327" w:hanging="360"/>
      </w:pPr>
    </w:lvl>
    <w:lvl w:ilvl="8" w:tplc="661260AC" w:tentative="1">
      <w:start w:val="1"/>
      <w:numFmt w:val="lowerRoman"/>
      <w:lvlText w:val="%9."/>
      <w:lvlJc w:val="right"/>
      <w:pPr>
        <w:ind w:left="7047" w:hanging="180"/>
      </w:pPr>
    </w:lvl>
  </w:abstractNum>
  <w:abstractNum w:abstractNumId="12" w15:restartNumberingAfterBreak="0">
    <w:nsid w:val="5B297BEF"/>
    <w:multiLevelType w:val="hybridMultilevel"/>
    <w:tmpl w:val="68FE70C0"/>
    <w:lvl w:ilvl="0" w:tplc="D278E310">
      <w:numFmt w:val="bullet"/>
      <w:lvlText w:val="-"/>
      <w:lvlJc w:val="left"/>
      <w:pPr>
        <w:ind w:left="720" w:hanging="360"/>
      </w:pPr>
      <w:rPr>
        <w:rFonts w:ascii="Muli" w:eastAsiaTheme="minorHAnsi" w:hAnsi="Mul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285488"/>
    <w:multiLevelType w:val="hybridMultilevel"/>
    <w:tmpl w:val="19205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241F42"/>
    <w:multiLevelType w:val="hybridMultilevel"/>
    <w:tmpl w:val="FC923106"/>
    <w:lvl w:ilvl="0" w:tplc="FB044A5C">
      <w:start w:val="1"/>
      <w:numFmt w:val="upperRoman"/>
      <w:lvlText w:val="%1."/>
      <w:lvlJc w:val="left"/>
      <w:pPr>
        <w:ind w:left="720" w:hanging="360"/>
      </w:pPr>
      <w:rPr>
        <w:rFonts w:hint="default"/>
        <w:b/>
        <w:bCs/>
      </w:rPr>
    </w:lvl>
    <w:lvl w:ilvl="1" w:tplc="106673AE" w:tentative="1">
      <w:start w:val="1"/>
      <w:numFmt w:val="lowerLetter"/>
      <w:lvlText w:val="%2."/>
      <w:lvlJc w:val="left"/>
      <w:pPr>
        <w:ind w:left="1440" w:hanging="360"/>
      </w:pPr>
    </w:lvl>
    <w:lvl w:ilvl="2" w:tplc="3BFCB39E" w:tentative="1">
      <w:start w:val="1"/>
      <w:numFmt w:val="lowerRoman"/>
      <w:lvlText w:val="%3."/>
      <w:lvlJc w:val="right"/>
      <w:pPr>
        <w:ind w:left="2160" w:hanging="180"/>
      </w:pPr>
    </w:lvl>
    <w:lvl w:ilvl="3" w:tplc="3FD8D116" w:tentative="1">
      <w:start w:val="1"/>
      <w:numFmt w:val="decimal"/>
      <w:lvlText w:val="%4."/>
      <w:lvlJc w:val="left"/>
      <w:pPr>
        <w:ind w:left="2880" w:hanging="360"/>
      </w:pPr>
    </w:lvl>
    <w:lvl w:ilvl="4" w:tplc="C1A8DA5C" w:tentative="1">
      <w:start w:val="1"/>
      <w:numFmt w:val="lowerLetter"/>
      <w:lvlText w:val="%5."/>
      <w:lvlJc w:val="left"/>
      <w:pPr>
        <w:ind w:left="3600" w:hanging="360"/>
      </w:pPr>
    </w:lvl>
    <w:lvl w:ilvl="5" w:tplc="92881750" w:tentative="1">
      <w:start w:val="1"/>
      <w:numFmt w:val="lowerRoman"/>
      <w:lvlText w:val="%6."/>
      <w:lvlJc w:val="right"/>
      <w:pPr>
        <w:ind w:left="4320" w:hanging="180"/>
      </w:pPr>
    </w:lvl>
    <w:lvl w:ilvl="6" w:tplc="DD1C3BA0" w:tentative="1">
      <w:start w:val="1"/>
      <w:numFmt w:val="decimal"/>
      <w:lvlText w:val="%7."/>
      <w:lvlJc w:val="left"/>
      <w:pPr>
        <w:ind w:left="5040" w:hanging="360"/>
      </w:pPr>
    </w:lvl>
    <w:lvl w:ilvl="7" w:tplc="FABA79B6" w:tentative="1">
      <w:start w:val="1"/>
      <w:numFmt w:val="lowerLetter"/>
      <w:lvlText w:val="%8."/>
      <w:lvlJc w:val="left"/>
      <w:pPr>
        <w:ind w:left="5760" w:hanging="360"/>
      </w:pPr>
    </w:lvl>
    <w:lvl w:ilvl="8" w:tplc="BBAAEE1E" w:tentative="1">
      <w:start w:val="1"/>
      <w:numFmt w:val="lowerRoman"/>
      <w:lvlText w:val="%9."/>
      <w:lvlJc w:val="right"/>
      <w:pPr>
        <w:ind w:left="6480" w:hanging="180"/>
      </w:pPr>
    </w:lvl>
  </w:abstractNum>
  <w:abstractNum w:abstractNumId="15" w15:restartNumberingAfterBreak="0">
    <w:nsid w:val="6B990E53"/>
    <w:multiLevelType w:val="hybridMultilevel"/>
    <w:tmpl w:val="81CC0B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DE83216"/>
    <w:multiLevelType w:val="hybridMultilevel"/>
    <w:tmpl w:val="7E6A0A58"/>
    <w:lvl w:ilvl="0" w:tplc="B284EC18">
      <w:start w:val="1"/>
      <w:numFmt w:val="bullet"/>
      <w:lvlText w:val=""/>
      <w:lvlJc w:val="left"/>
      <w:pPr>
        <w:ind w:left="2007" w:hanging="360"/>
      </w:pPr>
      <w:rPr>
        <w:rFonts w:ascii="Symbol" w:hAnsi="Symbol" w:hint="default"/>
      </w:rPr>
    </w:lvl>
    <w:lvl w:ilvl="1" w:tplc="E85E1F80" w:tentative="1">
      <w:start w:val="1"/>
      <w:numFmt w:val="bullet"/>
      <w:lvlText w:val="o"/>
      <w:lvlJc w:val="left"/>
      <w:pPr>
        <w:ind w:left="2727" w:hanging="360"/>
      </w:pPr>
      <w:rPr>
        <w:rFonts w:ascii="Courier New" w:hAnsi="Courier New" w:cs="Courier New" w:hint="default"/>
      </w:rPr>
    </w:lvl>
    <w:lvl w:ilvl="2" w:tplc="F73AFCCC" w:tentative="1">
      <w:start w:val="1"/>
      <w:numFmt w:val="bullet"/>
      <w:lvlText w:val=""/>
      <w:lvlJc w:val="left"/>
      <w:pPr>
        <w:ind w:left="3447" w:hanging="360"/>
      </w:pPr>
      <w:rPr>
        <w:rFonts w:ascii="Wingdings" w:hAnsi="Wingdings" w:hint="default"/>
      </w:rPr>
    </w:lvl>
    <w:lvl w:ilvl="3" w:tplc="B28EA028" w:tentative="1">
      <w:start w:val="1"/>
      <w:numFmt w:val="bullet"/>
      <w:lvlText w:val=""/>
      <w:lvlJc w:val="left"/>
      <w:pPr>
        <w:ind w:left="4167" w:hanging="360"/>
      </w:pPr>
      <w:rPr>
        <w:rFonts w:ascii="Symbol" w:hAnsi="Symbol" w:hint="default"/>
      </w:rPr>
    </w:lvl>
    <w:lvl w:ilvl="4" w:tplc="B71A0D74" w:tentative="1">
      <w:start w:val="1"/>
      <w:numFmt w:val="bullet"/>
      <w:lvlText w:val="o"/>
      <w:lvlJc w:val="left"/>
      <w:pPr>
        <w:ind w:left="4887" w:hanging="360"/>
      </w:pPr>
      <w:rPr>
        <w:rFonts w:ascii="Courier New" w:hAnsi="Courier New" w:cs="Courier New" w:hint="default"/>
      </w:rPr>
    </w:lvl>
    <w:lvl w:ilvl="5" w:tplc="5A4C72DE" w:tentative="1">
      <w:start w:val="1"/>
      <w:numFmt w:val="bullet"/>
      <w:lvlText w:val=""/>
      <w:lvlJc w:val="left"/>
      <w:pPr>
        <w:ind w:left="5607" w:hanging="360"/>
      </w:pPr>
      <w:rPr>
        <w:rFonts w:ascii="Wingdings" w:hAnsi="Wingdings" w:hint="default"/>
      </w:rPr>
    </w:lvl>
    <w:lvl w:ilvl="6" w:tplc="18CC93A8" w:tentative="1">
      <w:start w:val="1"/>
      <w:numFmt w:val="bullet"/>
      <w:lvlText w:val=""/>
      <w:lvlJc w:val="left"/>
      <w:pPr>
        <w:ind w:left="6327" w:hanging="360"/>
      </w:pPr>
      <w:rPr>
        <w:rFonts w:ascii="Symbol" w:hAnsi="Symbol" w:hint="default"/>
      </w:rPr>
    </w:lvl>
    <w:lvl w:ilvl="7" w:tplc="0156A5CC" w:tentative="1">
      <w:start w:val="1"/>
      <w:numFmt w:val="bullet"/>
      <w:lvlText w:val="o"/>
      <w:lvlJc w:val="left"/>
      <w:pPr>
        <w:ind w:left="7047" w:hanging="360"/>
      </w:pPr>
      <w:rPr>
        <w:rFonts w:ascii="Courier New" w:hAnsi="Courier New" w:cs="Courier New" w:hint="default"/>
      </w:rPr>
    </w:lvl>
    <w:lvl w:ilvl="8" w:tplc="2F285BE4" w:tentative="1">
      <w:start w:val="1"/>
      <w:numFmt w:val="bullet"/>
      <w:lvlText w:val=""/>
      <w:lvlJc w:val="left"/>
      <w:pPr>
        <w:ind w:left="7767" w:hanging="360"/>
      </w:pPr>
      <w:rPr>
        <w:rFonts w:ascii="Wingdings" w:hAnsi="Wingdings" w:hint="default"/>
      </w:rPr>
    </w:lvl>
  </w:abstractNum>
  <w:abstractNum w:abstractNumId="17" w15:restartNumberingAfterBreak="0">
    <w:nsid w:val="7C687A52"/>
    <w:multiLevelType w:val="hybridMultilevel"/>
    <w:tmpl w:val="C414A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2"/>
  </w:num>
  <w:num w:numId="4">
    <w:abstractNumId w:val="7"/>
  </w:num>
  <w:num w:numId="5">
    <w:abstractNumId w:val="15"/>
  </w:num>
  <w:num w:numId="6">
    <w:abstractNumId w:val="14"/>
  </w:num>
  <w:num w:numId="7">
    <w:abstractNumId w:val="11"/>
  </w:num>
  <w:num w:numId="8">
    <w:abstractNumId w:val="2"/>
  </w:num>
  <w:num w:numId="9">
    <w:abstractNumId w:val="10"/>
  </w:num>
  <w:num w:numId="10">
    <w:abstractNumId w:val="16"/>
  </w:num>
  <w:num w:numId="11">
    <w:abstractNumId w:val="5"/>
  </w:num>
  <w:num w:numId="12">
    <w:abstractNumId w:val="6"/>
  </w:num>
  <w:num w:numId="13">
    <w:abstractNumId w:val="0"/>
  </w:num>
  <w:num w:numId="14">
    <w:abstractNumId w:val="1"/>
  </w:num>
  <w:num w:numId="15">
    <w:abstractNumId w:val="17"/>
  </w:num>
  <w:num w:numId="16">
    <w:abstractNumId w:val="4"/>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E3"/>
    <w:rsid w:val="000021EC"/>
    <w:rsid w:val="00003804"/>
    <w:rsid w:val="00030819"/>
    <w:rsid w:val="000324DD"/>
    <w:rsid w:val="0003726C"/>
    <w:rsid w:val="00042E6A"/>
    <w:rsid w:val="00046650"/>
    <w:rsid w:val="00073581"/>
    <w:rsid w:val="00077A7D"/>
    <w:rsid w:val="0008135F"/>
    <w:rsid w:val="000945C2"/>
    <w:rsid w:val="000B687D"/>
    <w:rsid w:val="000C74E4"/>
    <w:rsid w:val="000C7D27"/>
    <w:rsid w:val="000F2708"/>
    <w:rsid w:val="0010272A"/>
    <w:rsid w:val="001128AA"/>
    <w:rsid w:val="00115267"/>
    <w:rsid w:val="00133581"/>
    <w:rsid w:val="001403C3"/>
    <w:rsid w:val="00162678"/>
    <w:rsid w:val="00170B3D"/>
    <w:rsid w:val="00172E53"/>
    <w:rsid w:val="00186E74"/>
    <w:rsid w:val="00197108"/>
    <w:rsid w:val="001A3759"/>
    <w:rsid w:val="001A6787"/>
    <w:rsid w:val="001A77D1"/>
    <w:rsid w:val="001E3764"/>
    <w:rsid w:val="001E4DB9"/>
    <w:rsid w:val="001F1DB8"/>
    <w:rsid w:val="001F51D4"/>
    <w:rsid w:val="001F795C"/>
    <w:rsid w:val="0022270B"/>
    <w:rsid w:val="00223B49"/>
    <w:rsid w:val="0022492C"/>
    <w:rsid w:val="00242BCE"/>
    <w:rsid w:val="00243429"/>
    <w:rsid w:val="002542FA"/>
    <w:rsid w:val="0026428C"/>
    <w:rsid w:val="002C4419"/>
    <w:rsid w:val="002D4AB8"/>
    <w:rsid w:val="002E0F4E"/>
    <w:rsid w:val="002E5ABD"/>
    <w:rsid w:val="00311B65"/>
    <w:rsid w:val="0032101E"/>
    <w:rsid w:val="00341AE0"/>
    <w:rsid w:val="00396F47"/>
    <w:rsid w:val="003A2099"/>
    <w:rsid w:val="003A4F69"/>
    <w:rsid w:val="003B6D9A"/>
    <w:rsid w:val="003C1EEF"/>
    <w:rsid w:val="003C41FB"/>
    <w:rsid w:val="003C6089"/>
    <w:rsid w:val="003D6C52"/>
    <w:rsid w:val="003E0709"/>
    <w:rsid w:val="003F344D"/>
    <w:rsid w:val="003F4B5E"/>
    <w:rsid w:val="004254F5"/>
    <w:rsid w:val="004575F1"/>
    <w:rsid w:val="00483090"/>
    <w:rsid w:val="004A3ED3"/>
    <w:rsid w:val="004B7934"/>
    <w:rsid w:val="004C2934"/>
    <w:rsid w:val="004D5588"/>
    <w:rsid w:val="004F1A03"/>
    <w:rsid w:val="00502F00"/>
    <w:rsid w:val="005121B3"/>
    <w:rsid w:val="00516FD0"/>
    <w:rsid w:val="00526588"/>
    <w:rsid w:val="00535A21"/>
    <w:rsid w:val="00536608"/>
    <w:rsid w:val="0054693A"/>
    <w:rsid w:val="00554D63"/>
    <w:rsid w:val="00560A2D"/>
    <w:rsid w:val="00562F5E"/>
    <w:rsid w:val="005A7246"/>
    <w:rsid w:val="005E15ED"/>
    <w:rsid w:val="005E44E2"/>
    <w:rsid w:val="005F70CC"/>
    <w:rsid w:val="00610F0D"/>
    <w:rsid w:val="00627533"/>
    <w:rsid w:val="00635668"/>
    <w:rsid w:val="006558B0"/>
    <w:rsid w:val="006757B3"/>
    <w:rsid w:val="006874B4"/>
    <w:rsid w:val="006A3B0A"/>
    <w:rsid w:val="006A6470"/>
    <w:rsid w:val="006D4FC2"/>
    <w:rsid w:val="006F0CE3"/>
    <w:rsid w:val="00702B3C"/>
    <w:rsid w:val="00702FFF"/>
    <w:rsid w:val="00704BB5"/>
    <w:rsid w:val="00711D00"/>
    <w:rsid w:val="00713F46"/>
    <w:rsid w:val="00717FBF"/>
    <w:rsid w:val="00741BBC"/>
    <w:rsid w:val="007837CD"/>
    <w:rsid w:val="00786165"/>
    <w:rsid w:val="007A5073"/>
    <w:rsid w:val="007E7DDC"/>
    <w:rsid w:val="007F44DC"/>
    <w:rsid w:val="00801990"/>
    <w:rsid w:val="008024FE"/>
    <w:rsid w:val="00810F5A"/>
    <w:rsid w:val="008135BF"/>
    <w:rsid w:val="008201E5"/>
    <w:rsid w:val="00835716"/>
    <w:rsid w:val="00844302"/>
    <w:rsid w:val="00851ED9"/>
    <w:rsid w:val="00855326"/>
    <w:rsid w:val="00864480"/>
    <w:rsid w:val="008715E9"/>
    <w:rsid w:val="008A31A7"/>
    <w:rsid w:val="008C6834"/>
    <w:rsid w:val="008C744E"/>
    <w:rsid w:val="008D548B"/>
    <w:rsid w:val="008E30F2"/>
    <w:rsid w:val="00904CEB"/>
    <w:rsid w:val="00906506"/>
    <w:rsid w:val="00910E4E"/>
    <w:rsid w:val="00917DEC"/>
    <w:rsid w:val="00923257"/>
    <w:rsid w:val="00940F83"/>
    <w:rsid w:val="0095562C"/>
    <w:rsid w:val="009639F4"/>
    <w:rsid w:val="0098135C"/>
    <w:rsid w:val="009A4239"/>
    <w:rsid w:val="009A5FB6"/>
    <w:rsid w:val="009E60F9"/>
    <w:rsid w:val="009F1423"/>
    <w:rsid w:val="009F2E55"/>
    <w:rsid w:val="009F5347"/>
    <w:rsid w:val="00A4410B"/>
    <w:rsid w:val="00A447CC"/>
    <w:rsid w:val="00A60694"/>
    <w:rsid w:val="00A64FDC"/>
    <w:rsid w:val="00A65C51"/>
    <w:rsid w:val="00A81057"/>
    <w:rsid w:val="00A827A9"/>
    <w:rsid w:val="00A847F3"/>
    <w:rsid w:val="00A9169F"/>
    <w:rsid w:val="00A923DA"/>
    <w:rsid w:val="00A938D3"/>
    <w:rsid w:val="00A957BB"/>
    <w:rsid w:val="00A95A4E"/>
    <w:rsid w:val="00A96B58"/>
    <w:rsid w:val="00AB242B"/>
    <w:rsid w:val="00AD0C36"/>
    <w:rsid w:val="00AF78C3"/>
    <w:rsid w:val="00B0014F"/>
    <w:rsid w:val="00B1363B"/>
    <w:rsid w:val="00B15FC6"/>
    <w:rsid w:val="00B20597"/>
    <w:rsid w:val="00B30074"/>
    <w:rsid w:val="00B41007"/>
    <w:rsid w:val="00B8055F"/>
    <w:rsid w:val="00B82B51"/>
    <w:rsid w:val="00BB53F5"/>
    <w:rsid w:val="00BB7F54"/>
    <w:rsid w:val="00BC1888"/>
    <w:rsid w:val="00BD0F08"/>
    <w:rsid w:val="00BD3D99"/>
    <w:rsid w:val="00BF3BAB"/>
    <w:rsid w:val="00BF47E4"/>
    <w:rsid w:val="00BF4FC0"/>
    <w:rsid w:val="00BF6D0E"/>
    <w:rsid w:val="00C06E0B"/>
    <w:rsid w:val="00C10380"/>
    <w:rsid w:val="00C205BF"/>
    <w:rsid w:val="00C7136D"/>
    <w:rsid w:val="00C93AF4"/>
    <w:rsid w:val="00CC3147"/>
    <w:rsid w:val="00CE01B3"/>
    <w:rsid w:val="00CE5710"/>
    <w:rsid w:val="00D12877"/>
    <w:rsid w:val="00D210FE"/>
    <w:rsid w:val="00D26ECA"/>
    <w:rsid w:val="00D45A45"/>
    <w:rsid w:val="00D46A7C"/>
    <w:rsid w:val="00D57809"/>
    <w:rsid w:val="00D61A74"/>
    <w:rsid w:val="00D769E7"/>
    <w:rsid w:val="00D91A21"/>
    <w:rsid w:val="00DA7D30"/>
    <w:rsid w:val="00DB07DB"/>
    <w:rsid w:val="00DD49F9"/>
    <w:rsid w:val="00DE0A3A"/>
    <w:rsid w:val="00DE12F3"/>
    <w:rsid w:val="00E241DD"/>
    <w:rsid w:val="00E27C4A"/>
    <w:rsid w:val="00E37541"/>
    <w:rsid w:val="00E41BAE"/>
    <w:rsid w:val="00E42D31"/>
    <w:rsid w:val="00E47510"/>
    <w:rsid w:val="00E543AD"/>
    <w:rsid w:val="00E77A78"/>
    <w:rsid w:val="00E834F4"/>
    <w:rsid w:val="00E90A01"/>
    <w:rsid w:val="00E93AB7"/>
    <w:rsid w:val="00EA6C69"/>
    <w:rsid w:val="00EB6286"/>
    <w:rsid w:val="00EE18F1"/>
    <w:rsid w:val="00EE24A4"/>
    <w:rsid w:val="00F0716B"/>
    <w:rsid w:val="00F10534"/>
    <w:rsid w:val="00F138FB"/>
    <w:rsid w:val="00F203B5"/>
    <w:rsid w:val="00F21CE9"/>
    <w:rsid w:val="00F25D28"/>
    <w:rsid w:val="00F42B23"/>
    <w:rsid w:val="00F43F81"/>
    <w:rsid w:val="00F51466"/>
    <w:rsid w:val="00F53D39"/>
    <w:rsid w:val="00F62F28"/>
    <w:rsid w:val="00F73AB2"/>
    <w:rsid w:val="00F74110"/>
    <w:rsid w:val="00F825D9"/>
    <w:rsid w:val="00F86BA2"/>
    <w:rsid w:val="00F930D4"/>
    <w:rsid w:val="00F933F1"/>
    <w:rsid w:val="00FA43B7"/>
    <w:rsid w:val="00FB18FB"/>
    <w:rsid w:val="00FB1EBB"/>
    <w:rsid w:val="00FC6ECD"/>
    <w:rsid w:val="310A8F1C"/>
    <w:rsid w:val="56DF8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C49409"/>
  <w15:chartTrackingRefBased/>
  <w15:docId w15:val="{D3E1F435-088F-4741-9877-658FC815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BCE"/>
  </w:style>
  <w:style w:type="paragraph" w:styleId="Heading1">
    <w:name w:val="heading 1"/>
    <w:basedOn w:val="Normal"/>
    <w:next w:val="Normal"/>
    <w:link w:val="Heading1Char"/>
    <w:uiPriority w:val="9"/>
    <w:qFormat/>
    <w:rsid w:val="001F51D4"/>
    <w:pPr>
      <w:keepNext/>
      <w:keepLines/>
      <w:spacing w:before="240" w:after="0"/>
      <w:outlineLvl w:val="0"/>
    </w:pPr>
    <w:rPr>
      <w:rFonts w:asciiTheme="majorHAnsi" w:eastAsiaTheme="majorEastAsia" w:hAnsiTheme="majorHAnsi" w:cstheme="majorBidi"/>
      <w:color w:val="032285" w:themeColor="accent1" w:themeShade="BF"/>
      <w:sz w:val="32"/>
      <w:szCs w:val="32"/>
    </w:rPr>
  </w:style>
  <w:style w:type="paragraph" w:styleId="Heading3">
    <w:name w:val="heading 3"/>
    <w:basedOn w:val="Normal"/>
    <w:next w:val="Normal"/>
    <w:link w:val="Heading3Char"/>
    <w:qFormat/>
    <w:rsid w:val="006F0CE3"/>
    <w:pPr>
      <w:widowControl w:val="0"/>
      <w:autoSpaceDE w:val="0"/>
      <w:autoSpaceDN w:val="0"/>
      <w:adjustRightInd w:val="0"/>
      <w:spacing w:after="0" w:line="288" w:lineRule="auto"/>
      <w:textAlignment w:val="center"/>
      <w:outlineLvl w:val="2"/>
    </w:pPr>
    <w:rPr>
      <w:rFonts w:ascii="Arial" w:eastAsia="Arial" w:hAnsi="Arial" w:cs="Arial-BoldMT"/>
      <w:b/>
      <w:bCs/>
      <w:color w:val="12608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CE3"/>
  </w:style>
  <w:style w:type="paragraph" w:styleId="Footer">
    <w:name w:val="footer"/>
    <w:basedOn w:val="Normal"/>
    <w:link w:val="FooterChar"/>
    <w:uiPriority w:val="99"/>
    <w:unhideWhenUsed/>
    <w:rsid w:val="006F0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CE3"/>
  </w:style>
  <w:style w:type="table" w:styleId="TableGrid">
    <w:name w:val="Table Grid"/>
    <w:basedOn w:val="TableNormal"/>
    <w:uiPriority w:val="39"/>
    <w:rsid w:val="006F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6F0CE3"/>
    <w:rPr>
      <w:rFonts w:ascii="Arial" w:eastAsia="Arial" w:hAnsi="Arial" w:cs="Arial-BoldMT"/>
      <w:b/>
      <w:bCs/>
      <w:color w:val="126081"/>
      <w:sz w:val="28"/>
      <w:szCs w:val="28"/>
    </w:rPr>
  </w:style>
  <w:style w:type="character" w:styleId="Hyperlink">
    <w:name w:val="Hyperlink"/>
    <w:rsid w:val="006F0CE3"/>
    <w:rPr>
      <w:color w:val="0000FF"/>
      <w:u w:val="single"/>
    </w:rPr>
  </w:style>
  <w:style w:type="paragraph" w:customStyle="1" w:styleId="Default">
    <w:name w:val="Default"/>
    <w:rsid w:val="006F0CE3"/>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aliases w:val="IFRA"/>
    <w:basedOn w:val="Normal"/>
    <w:link w:val="BodyTextChar"/>
    <w:rsid w:val="006F0CE3"/>
    <w:pPr>
      <w:spacing w:after="0" w:line="240" w:lineRule="auto"/>
    </w:pPr>
    <w:rPr>
      <w:rFonts w:ascii="Verdana" w:eastAsia="Times New Roman" w:hAnsi="Verdana" w:cs="Times New Roman"/>
      <w:noProof/>
      <w:sz w:val="20"/>
      <w:szCs w:val="20"/>
      <w:lang w:val="fr-FR"/>
    </w:rPr>
  </w:style>
  <w:style w:type="character" w:customStyle="1" w:styleId="BodyTextChar">
    <w:name w:val="Body Text Char"/>
    <w:aliases w:val="IFRA Char"/>
    <w:basedOn w:val="DefaultParagraphFont"/>
    <w:link w:val="BodyText"/>
    <w:rsid w:val="006F0CE3"/>
    <w:rPr>
      <w:rFonts w:ascii="Verdana" w:eastAsia="Times New Roman" w:hAnsi="Verdana" w:cs="Times New Roman"/>
      <w:noProof/>
      <w:sz w:val="20"/>
      <w:szCs w:val="20"/>
      <w:lang w:val="fr-FR"/>
    </w:rPr>
  </w:style>
  <w:style w:type="paragraph" w:styleId="ListParagraph">
    <w:name w:val="List Paragraph"/>
    <w:basedOn w:val="Normal"/>
    <w:uiPriority w:val="34"/>
    <w:qFormat/>
    <w:rsid w:val="006F0CE3"/>
    <w:pPr>
      <w:spacing w:after="200" w:line="276" w:lineRule="auto"/>
      <w:ind w:left="720"/>
      <w:contextualSpacing/>
    </w:pPr>
    <w:rPr>
      <w:rFonts w:ascii="Calibri" w:eastAsia="Calibri" w:hAnsi="Calibri" w:cs="Times New Roman"/>
      <w:lang w:val="en-US"/>
    </w:rPr>
  </w:style>
  <w:style w:type="paragraph" w:customStyle="1" w:styleId="paragraph">
    <w:name w:val="paragraph"/>
    <w:basedOn w:val="Normal"/>
    <w:rsid w:val="006F0CE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rsid w:val="006F0CE3"/>
  </w:style>
  <w:style w:type="character" w:customStyle="1" w:styleId="eop">
    <w:name w:val="eop"/>
    <w:basedOn w:val="DefaultParagraphFont"/>
    <w:rsid w:val="006F0CE3"/>
  </w:style>
  <w:style w:type="character" w:styleId="UnresolvedMention">
    <w:name w:val="Unresolved Mention"/>
    <w:basedOn w:val="DefaultParagraphFont"/>
    <w:uiPriority w:val="99"/>
    <w:semiHidden/>
    <w:unhideWhenUsed/>
    <w:rsid w:val="009639F4"/>
    <w:rPr>
      <w:color w:val="605E5C"/>
      <w:shd w:val="clear" w:color="auto" w:fill="E1DFDD"/>
    </w:rPr>
  </w:style>
  <w:style w:type="character" w:styleId="CommentReference">
    <w:name w:val="annotation reference"/>
    <w:basedOn w:val="DefaultParagraphFont"/>
    <w:uiPriority w:val="99"/>
    <w:semiHidden/>
    <w:unhideWhenUsed/>
    <w:rsid w:val="00CC3147"/>
    <w:rPr>
      <w:sz w:val="16"/>
      <w:szCs w:val="16"/>
    </w:rPr>
  </w:style>
  <w:style w:type="paragraph" w:styleId="CommentText">
    <w:name w:val="annotation text"/>
    <w:basedOn w:val="Normal"/>
    <w:link w:val="CommentTextChar"/>
    <w:uiPriority w:val="99"/>
    <w:semiHidden/>
    <w:unhideWhenUsed/>
    <w:rsid w:val="00CC3147"/>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C314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3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147"/>
    <w:rPr>
      <w:rFonts w:ascii="Segoe UI" w:hAnsi="Segoe UI" w:cs="Segoe UI"/>
      <w:sz w:val="18"/>
      <w:szCs w:val="18"/>
    </w:rPr>
  </w:style>
  <w:style w:type="character" w:customStyle="1" w:styleId="Heading1Char">
    <w:name w:val="Heading 1 Char"/>
    <w:basedOn w:val="DefaultParagraphFont"/>
    <w:link w:val="Heading1"/>
    <w:uiPriority w:val="9"/>
    <w:rsid w:val="001F51D4"/>
    <w:rPr>
      <w:rFonts w:asciiTheme="majorHAnsi" w:eastAsiaTheme="majorEastAsia" w:hAnsiTheme="majorHAnsi" w:cstheme="majorBidi"/>
      <w:color w:val="032285" w:themeColor="accent1" w:themeShade="BF"/>
      <w:sz w:val="32"/>
      <w:szCs w:val="32"/>
    </w:rPr>
  </w:style>
  <w:style w:type="paragraph" w:styleId="NoSpacing">
    <w:name w:val="No Spacing"/>
    <w:uiPriority w:val="1"/>
    <w:qFormat/>
    <w:rsid w:val="001F51D4"/>
    <w:pPr>
      <w:spacing w:after="0" w:line="240" w:lineRule="auto"/>
    </w:pPr>
    <w:rPr>
      <w:rFonts w:ascii="Calibri" w:eastAsia="MS Mincho" w:hAnsi="Calibri" w:cs="Times New Roman"/>
      <w:lang w:val="sk-SK"/>
    </w:rPr>
  </w:style>
  <w:style w:type="paragraph" w:customStyle="1" w:styleId="Subheadline">
    <w:name w:val="Subheadline"/>
    <w:basedOn w:val="ListParagraph"/>
    <w:link w:val="SubheadlineChar"/>
    <w:qFormat/>
    <w:rsid w:val="001F51D4"/>
    <w:pPr>
      <w:spacing w:after="60"/>
      <w:ind w:left="0"/>
      <w:contextualSpacing w:val="0"/>
    </w:pPr>
    <w:rPr>
      <w:rFonts w:ascii="Times New Roman" w:eastAsia="Arial" w:hAnsi="Times New Roman" w:cs="Arial"/>
      <w:color w:val="E5E5E5" w:themeColor="background2"/>
      <w:sz w:val="32"/>
      <w:szCs w:val="32"/>
      <w:lang w:val="sk-SK" w:eastAsia="sk-SK"/>
    </w:rPr>
  </w:style>
  <w:style w:type="character" w:customStyle="1" w:styleId="SubheadlineChar">
    <w:name w:val="Subheadline Char"/>
    <w:basedOn w:val="DefaultParagraphFont"/>
    <w:link w:val="Subheadline"/>
    <w:rsid w:val="001F51D4"/>
    <w:rPr>
      <w:rFonts w:ascii="Times New Roman" w:eastAsia="Arial" w:hAnsi="Times New Roman" w:cs="Arial"/>
      <w:color w:val="E5E5E5" w:themeColor="background2"/>
      <w:sz w:val="32"/>
      <w:szCs w:val="32"/>
      <w:lang w:val="sk-SK" w:eastAsia="sk-SK"/>
    </w:rPr>
  </w:style>
  <w:style w:type="paragraph" w:styleId="NormalWeb">
    <w:name w:val="Normal (Web)"/>
    <w:basedOn w:val="Normal"/>
    <w:uiPriority w:val="99"/>
    <w:semiHidden/>
    <w:unhideWhenUsed/>
    <w:rsid w:val="0011526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901783">
      <w:bodyDiv w:val="1"/>
      <w:marLeft w:val="0"/>
      <w:marRight w:val="0"/>
      <w:marTop w:val="0"/>
      <w:marBottom w:val="0"/>
      <w:divBdr>
        <w:top w:val="none" w:sz="0" w:space="0" w:color="auto"/>
        <w:left w:val="none" w:sz="0" w:space="0" w:color="auto"/>
        <w:bottom w:val="none" w:sz="0" w:space="0" w:color="auto"/>
        <w:right w:val="none" w:sz="0" w:space="0" w:color="auto"/>
      </w:divBdr>
    </w:div>
    <w:div w:id="1509097899">
      <w:bodyDiv w:val="1"/>
      <w:marLeft w:val="0"/>
      <w:marRight w:val="0"/>
      <w:marTop w:val="0"/>
      <w:marBottom w:val="0"/>
      <w:divBdr>
        <w:top w:val="none" w:sz="0" w:space="0" w:color="auto"/>
        <w:left w:val="none" w:sz="0" w:space="0" w:color="auto"/>
        <w:bottom w:val="none" w:sz="0" w:space="0" w:color="auto"/>
        <w:right w:val="none" w:sz="0" w:space="0" w:color="auto"/>
      </w:divBdr>
    </w:div>
    <w:div w:id="208224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raorg.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FRA">
      <a:dk1>
        <a:srgbClr val="070707"/>
      </a:dk1>
      <a:lt1>
        <a:srgbClr val="FFFFFF"/>
      </a:lt1>
      <a:dk2>
        <a:srgbClr val="A0A0A3"/>
      </a:dk2>
      <a:lt2>
        <a:srgbClr val="E5E5E5"/>
      </a:lt2>
      <a:accent1>
        <a:srgbClr val="052EB3"/>
      </a:accent1>
      <a:accent2>
        <a:srgbClr val="E94545"/>
      </a:accent2>
      <a:accent3>
        <a:srgbClr val="5CAB27"/>
      </a:accent3>
      <a:accent4>
        <a:srgbClr val="EEAC2C"/>
      </a:accent4>
      <a:accent5>
        <a:srgbClr val="A2548C"/>
      </a:accent5>
      <a:accent6>
        <a:srgbClr val="3BA4A0"/>
      </a:accent6>
      <a:hlink>
        <a:srgbClr val="F23990"/>
      </a:hlink>
      <a:folHlink>
        <a:srgbClr val="14A0D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E3E4DC027844FAEBE5064169896AB" ma:contentTypeVersion="3" ma:contentTypeDescription="Create a new document." ma:contentTypeScope="" ma:versionID="4e267cfb07c9eae6e653665b8c00edad">
  <xsd:schema xmlns:xsd="http://www.w3.org/2001/XMLSchema" xmlns:xs="http://www.w3.org/2001/XMLSchema" xmlns:p="http://schemas.microsoft.com/office/2006/metadata/properties" xmlns:ns2="dca08c1d-ce36-4424-9474-de668cb58259" xmlns:ns3="http://schemas.microsoft.com/sharepoint/v4" targetNamespace="http://schemas.microsoft.com/office/2006/metadata/properties" ma:root="true" ma:fieldsID="2d5bab99424f3052bfef8fab6500cfdb" ns2:_="" ns3:_="">
    <xsd:import namespace="dca08c1d-ce36-4424-9474-de668cb5825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08c1d-ce36-4424-9474-de668cb582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31B77-5F29-4A47-8573-0FF8E4276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a08c1d-ce36-4424-9474-de668cb5825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D064AD-FEEB-4398-AECD-209D8D5E18F6}">
  <ds:schemaRefs>
    <ds:schemaRef ds:uri="http://schemas.microsoft.com/sharepoint/v3/contenttype/forms"/>
  </ds:schemaRefs>
</ds:datastoreItem>
</file>

<file path=customXml/itemProps3.xml><?xml version="1.0" encoding="utf-8"?>
<ds:datastoreItem xmlns:ds="http://schemas.openxmlformats.org/officeDocument/2006/customXml" ds:itemID="{AD079DE6-C945-4E82-B9D7-83F6026C3B1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ca08c1d-ce36-4424-9474-de668cb58259"/>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3BCE785E-27FA-4784-9EE3-45DF2F4F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651</Words>
  <Characters>3713</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O'Leary</dc:creator>
  <cp:keywords/>
  <dc:description/>
  <cp:lastModifiedBy>David O'Leary</cp:lastModifiedBy>
  <cp:revision>2</cp:revision>
  <cp:lastPrinted>2018-10-03T07:45:00Z</cp:lastPrinted>
  <dcterms:created xsi:type="dcterms:W3CDTF">2019-06-11T16:17:00Z</dcterms:created>
  <dcterms:modified xsi:type="dcterms:W3CDTF">2019-06-11T16:17:00Z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0x010100575E3E4DC027844FAEBE5064169896AB</vt:lpwstr>
  </property>
</Properties>
</file>