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8843A" w14:textId="1BCB9B61" w:rsidR="007B2DD3" w:rsidRPr="007B2DD3" w:rsidRDefault="00C46EF8" w:rsidP="007B2DD3">
      <w:pPr>
        <w:spacing w:after="0" w:line="240" w:lineRule="auto"/>
        <w:jc w:val="both"/>
        <w:rPr>
          <w:rFonts w:ascii="Open Sans" w:hAnsi="Open Sans" w:cs="Open Sans"/>
          <w:sz w:val="22"/>
        </w:rPr>
      </w:pPr>
      <w:r>
        <w:rPr>
          <w:rFonts w:ascii="Open Sans" w:hAnsi="Open Sans" w:cs="Open Sans"/>
          <w:sz w:val="22"/>
        </w:rPr>
        <w:t>PRESS</w:t>
      </w:r>
      <w:r w:rsidR="007B2DD3" w:rsidRPr="007B2DD3">
        <w:rPr>
          <w:rFonts w:ascii="Open Sans" w:hAnsi="Open Sans" w:cs="Open Sans"/>
          <w:sz w:val="22"/>
        </w:rPr>
        <w:t xml:space="preserve"> RELEASE</w:t>
      </w:r>
    </w:p>
    <w:p w14:paraId="3A39814E" w14:textId="77777777" w:rsidR="007B2DD3" w:rsidRPr="00F30211" w:rsidRDefault="007B2DD3" w:rsidP="007B2DD3">
      <w:pPr>
        <w:spacing w:after="0" w:line="240" w:lineRule="auto"/>
        <w:jc w:val="both"/>
        <w:rPr>
          <w:rFonts w:ascii="Open Sans" w:hAnsi="Open Sans" w:cs="Open Sans"/>
        </w:rPr>
      </w:pPr>
    </w:p>
    <w:p w14:paraId="3D958DE5" w14:textId="77777777" w:rsidR="007B2DD3" w:rsidRPr="009217B8" w:rsidRDefault="007B2DD3" w:rsidP="007B2DD3">
      <w:pPr>
        <w:spacing w:after="0" w:line="240" w:lineRule="auto"/>
        <w:jc w:val="both"/>
        <w:rPr>
          <w:rFonts w:ascii="Open Sans" w:hAnsi="Open Sans" w:cs="Open Sans"/>
          <w:b/>
          <w:sz w:val="28"/>
        </w:rPr>
      </w:pPr>
      <w:r>
        <w:rPr>
          <w:rFonts w:ascii="Open Sans" w:hAnsi="Open Sans" w:cs="Open Sans"/>
          <w:b/>
          <w:sz w:val="28"/>
        </w:rPr>
        <w:t>Discover key</w:t>
      </w:r>
      <w:r w:rsidRPr="009217B8">
        <w:rPr>
          <w:rFonts w:ascii="Open Sans" w:hAnsi="Open Sans" w:cs="Open Sans"/>
          <w:b/>
          <w:sz w:val="28"/>
        </w:rPr>
        <w:t xml:space="preserve"> </w:t>
      </w:r>
      <w:r>
        <w:rPr>
          <w:rFonts w:ascii="Open Sans" w:hAnsi="Open Sans" w:cs="Open Sans"/>
          <w:b/>
          <w:sz w:val="28"/>
        </w:rPr>
        <w:t>APAC</w:t>
      </w:r>
      <w:r w:rsidRPr="009217B8">
        <w:rPr>
          <w:rFonts w:ascii="Open Sans" w:hAnsi="Open Sans" w:cs="Open Sans"/>
          <w:b/>
          <w:sz w:val="28"/>
        </w:rPr>
        <w:t xml:space="preserve"> nutraceutical trends</w:t>
      </w:r>
      <w:r>
        <w:rPr>
          <w:rFonts w:ascii="Open Sans" w:hAnsi="Open Sans" w:cs="Open Sans"/>
          <w:b/>
          <w:sz w:val="28"/>
        </w:rPr>
        <w:t xml:space="preserve"> at Vitafoods Asia</w:t>
      </w:r>
    </w:p>
    <w:p w14:paraId="2D716887" w14:textId="77777777" w:rsidR="007B2DD3" w:rsidRDefault="007B2DD3" w:rsidP="007B2DD3">
      <w:pPr>
        <w:spacing w:after="0" w:line="240" w:lineRule="auto"/>
        <w:jc w:val="both"/>
        <w:rPr>
          <w:rFonts w:ascii="Open Sans" w:hAnsi="Open Sans" w:cs="Open Sans"/>
        </w:rPr>
      </w:pPr>
    </w:p>
    <w:p w14:paraId="72C3D0D1" w14:textId="35E54CBD" w:rsidR="007B2DD3" w:rsidRPr="006874A4" w:rsidRDefault="00C46EF8" w:rsidP="007B2DD3">
      <w:pPr>
        <w:spacing w:after="0" w:line="240" w:lineRule="auto"/>
        <w:jc w:val="both"/>
        <w:rPr>
          <w:rFonts w:ascii="Open Sans" w:hAnsi="Open Sans" w:cs="Open Sans"/>
          <w:sz w:val="22"/>
          <w:szCs w:val="22"/>
        </w:rPr>
      </w:pPr>
      <w:bookmarkStart w:id="0" w:name="_Hlk8139888"/>
      <w:r w:rsidRPr="006874A4">
        <w:rPr>
          <w:rFonts w:ascii="Open Sans" w:hAnsi="Open Sans" w:cs="Open Sans"/>
          <w:b/>
          <w:sz w:val="22"/>
          <w:szCs w:val="22"/>
        </w:rPr>
        <w:t>28</w:t>
      </w:r>
      <w:r w:rsidR="007B2DD3" w:rsidRPr="006874A4">
        <w:rPr>
          <w:rFonts w:ascii="Open Sans" w:hAnsi="Open Sans" w:cs="Open Sans"/>
          <w:b/>
          <w:sz w:val="22"/>
          <w:szCs w:val="22"/>
        </w:rPr>
        <w:t xml:space="preserve"> May 2019 – SINGAPORE</w:t>
      </w:r>
      <w:r w:rsidR="007B2DD3" w:rsidRPr="006874A4">
        <w:rPr>
          <w:rFonts w:ascii="Open Sans" w:hAnsi="Open Sans" w:cs="Open Sans"/>
          <w:sz w:val="22"/>
          <w:szCs w:val="22"/>
        </w:rPr>
        <w:t xml:space="preserve"> –</w:t>
      </w:r>
      <w:bookmarkEnd w:id="0"/>
      <w:r w:rsidR="007B2DD3" w:rsidRPr="006874A4">
        <w:rPr>
          <w:rFonts w:ascii="Open Sans" w:hAnsi="Open Sans" w:cs="Open Sans"/>
          <w:sz w:val="22"/>
          <w:szCs w:val="22"/>
        </w:rPr>
        <w:t xml:space="preserve"> Vitafoods Asia, the nutraceutical event for the Asia Pacific region, brings together the three key ingredients required to develop and launch new innovations from lab to market: science, business, and government agencies. </w:t>
      </w:r>
    </w:p>
    <w:p w14:paraId="5D2ED098" w14:textId="77777777" w:rsidR="007B2DD3" w:rsidRPr="006874A4" w:rsidRDefault="007B2DD3" w:rsidP="007B2DD3">
      <w:pPr>
        <w:spacing w:after="0" w:line="240" w:lineRule="auto"/>
        <w:jc w:val="both"/>
        <w:rPr>
          <w:rFonts w:ascii="Open Sans" w:hAnsi="Open Sans" w:cs="Open Sans"/>
          <w:sz w:val="22"/>
          <w:szCs w:val="22"/>
        </w:rPr>
      </w:pPr>
    </w:p>
    <w:p w14:paraId="68053BFF" w14:textId="77777777" w:rsidR="007B2DD3" w:rsidRPr="006874A4" w:rsidRDefault="007B2DD3" w:rsidP="007B2DD3">
      <w:pPr>
        <w:spacing w:after="0" w:line="240" w:lineRule="auto"/>
        <w:jc w:val="both"/>
        <w:rPr>
          <w:rFonts w:ascii="Open Sans" w:hAnsi="Open Sans" w:cs="Open Sans"/>
          <w:sz w:val="22"/>
          <w:szCs w:val="22"/>
        </w:rPr>
      </w:pPr>
      <w:r w:rsidRPr="006874A4">
        <w:rPr>
          <w:rFonts w:ascii="Open Sans" w:hAnsi="Open Sans" w:cs="Open Sans"/>
          <w:sz w:val="22"/>
          <w:szCs w:val="22"/>
        </w:rPr>
        <w:t xml:space="preserve">Nutraceuticals have positive physiological effects on the human body, but do not easily fall into the categories of food or pharmaceutical drugs. Research-based, nutraceuticals offer the benefits of medicine and health delivered through functional foods and beverages. </w:t>
      </w:r>
    </w:p>
    <w:p w14:paraId="2BDB8B3E" w14:textId="77777777" w:rsidR="007B2DD3" w:rsidRPr="006874A4" w:rsidRDefault="007B2DD3" w:rsidP="007B2DD3">
      <w:pPr>
        <w:spacing w:after="0" w:line="240" w:lineRule="auto"/>
        <w:jc w:val="both"/>
        <w:rPr>
          <w:rFonts w:ascii="Open Sans" w:hAnsi="Open Sans" w:cs="Open Sans"/>
          <w:sz w:val="22"/>
          <w:szCs w:val="22"/>
        </w:rPr>
      </w:pPr>
    </w:p>
    <w:p w14:paraId="207988B1" w14:textId="77777777" w:rsidR="007B2DD3" w:rsidRPr="006874A4" w:rsidRDefault="007B2DD3" w:rsidP="007B2DD3">
      <w:pPr>
        <w:spacing w:after="0" w:line="240" w:lineRule="auto"/>
        <w:jc w:val="both"/>
        <w:rPr>
          <w:rFonts w:ascii="Open Sans" w:hAnsi="Open Sans" w:cs="Open Sans"/>
          <w:sz w:val="22"/>
          <w:szCs w:val="22"/>
        </w:rPr>
      </w:pPr>
      <w:r w:rsidRPr="006874A4">
        <w:rPr>
          <w:rFonts w:ascii="Open Sans" w:hAnsi="Open Sans" w:cs="Open Sans"/>
          <w:sz w:val="22"/>
          <w:szCs w:val="22"/>
        </w:rPr>
        <w:t>Nutraceuticals deliver benefits for gut health, beauty-from-within, cognitive function and stress support. They can help to prevent and reduce issues such as obesity, healthy aging, or cancer, and may be used to boost immunity. They can also be used to improve mood, sleep quality and psychological performance.</w:t>
      </w:r>
    </w:p>
    <w:p w14:paraId="717DA67F" w14:textId="77777777" w:rsidR="007B2DD3" w:rsidRPr="006874A4" w:rsidRDefault="007B2DD3" w:rsidP="007B2DD3">
      <w:pPr>
        <w:spacing w:after="0" w:line="240" w:lineRule="auto"/>
        <w:jc w:val="both"/>
        <w:rPr>
          <w:rFonts w:ascii="Open Sans" w:hAnsi="Open Sans" w:cs="Open Sans"/>
          <w:sz w:val="22"/>
          <w:szCs w:val="22"/>
        </w:rPr>
      </w:pPr>
    </w:p>
    <w:p w14:paraId="7C6938D0" w14:textId="77777777" w:rsidR="007B2DD3" w:rsidRPr="006874A4" w:rsidRDefault="007B2DD3" w:rsidP="007B2DD3">
      <w:pPr>
        <w:spacing w:after="0" w:line="240" w:lineRule="auto"/>
        <w:jc w:val="both"/>
        <w:rPr>
          <w:rFonts w:ascii="Open Sans" w:hAnsi="Open Sans" w:cs="Open Sans"/>
          <w:sz w:val="22"/>
          <w:szCs w:val="22"/>
        </w:rPr>
      </w:pPr>
      <w:r w:rsidRPr="006874A4">
        <w:rPr>
          <w:rFonts w:ascii="Open Sans" w:hAnsi="Open Sans" w:cs="Open Sans"/>
          <w:sz w:val="22"/>
          <w:szCs w:val="22"/>
        </w:rPr>
        <w:t>Key consumption trends in nutraceuticals in the Asia Pacific region for 2019 include:</w:t>
      </w:r>
    </w:p>
    <w:p w14:paraId="6BB58C4E" w14:textId="77777777" w:rsidR="007B2DD3" w:rsidRPr="006874A4" w:rsidRDefault="007B2DD3" w:rsidP="007B2DD3">
      <w:pPr>
        <w:spacing w:after="0" w:line="240" w:lineRule="auto"/>
        <w:jc w:val="both"/>
        <w:rPr>
          <w:rFonts w:ascii="Open Sans" w:hAnsi="Open Sans" w:cs="Open Sans"/>
          <w:sz w:val="22"/>
          <w:szCs w:val="22"/>
        </w:rPr>
      </w:pPr>
    </w:p>
    <w:p w14:paraId="2ED47935" w14:textId="77777777" w:rsidR="007B2DD3" w:rsidRPr="006874A4" w:rsidRDefault="007B2DD3" w:rsidP="007B2DD3">
      <w:pPr>
        <w:spacing w:after="0" w:line="240" w:lineRule="auto"/>
        <w:jc w:val="both"/>
        <w:rPr>
          <w:rFonts w:ascii="Open Sans" w:hAnsi="Open Sans" w:cs="Open Sans"/>
          <w:b/>
          <w:sz w:val="22"/>
          <w:szCs w:val="22"/>
        </w:rPr>
      </w:pPr>
      <w:r w:rsidRPr="006874A4">
        <w:rPr>
          <w:rFonts w:ascii="Open Sans" w:hAnsi="Open Sans" w:cs="Open Sans"/>
          <w:b/>
          <w:sz w:val="22"/>
          <w:szCs w:val="22"/>
        </w:rPr>
        <w:t>1. ‘Feel the benefit’</w:t>
      </w:r>
    </w:p>
    <w:p w14:paraId="283ABD3F" w14:textId="77777777" w:rsidR="007B2DD3" w:rsidRPr="006874A4" w:rsidRDefault="007B2DD3" w:rsidP="007B2DD3">
      <w:pPr>
        <w:spacing w:after="0" w:line="240" w:lineRule="auto"/>
        <w:jc w:val="both"/>
        <w:rPr>
          <w:rFonts w:ascii="Open Sans" w:hAnsi="Open Sans" w:cs="Open Sans"/>
          <w:sz w:val="22"/>
          <w:szCs w:val="22"/>
        </w:rPr>
      </w:pPr>
    </w:p>
    <w:p w14:paraId="707AEF4D" w14:textId="3C72C57B" w:rsidR="007B2DD3" w:rsidRPr="006874A4" w:rsidRDefault="007B2DD3" w:rsidP="007B2DD3">
      <w:pPr>
        <w:spacing w:after="0" w:line="240" w:lineRule="auto"/>
        <w:jc w:val="both"/>
        <w:rPr>
          <w:rFonts w:ascii="Open Sans" w:hAnsi="Open Sans" w:cs="Open Sans"/>
          <w:sz w:val="22"/>
          <w:szCs w:val="22"/>
        </w:rPr>
      </w:pPr>
      <w:r w:rsidRPr="006874A4">
        <w:rPr>
          <w:rFonts w:ascii="Open Sans" w:hAnsi="Open Sans" w:cs="Open Sans"/>
          <w:sz w:val="22"/>
          <w:szCs w:val="22"/>
        </w:rPr>
        <w:t>Most food or beverages that carry a nutraceutical benefit do so over time and can’t be felt immediately, but one category of nutraceuticals offers an immediate ‘feel the benefit’ effect. These products are made with Cannabidiol, also known as CBD,</w:t>
      </w:r>
      <w:r w:rsidR="005851C8" w:rsidRPr="006874A4">
        <w:rPr>
          <w:rFonts w:ascii="Open Sans" w:hAnsi="Open Sans" w:cs="Open Sans"/>
          <w:sz w:val="22"/>
          <w:szCs w:val="22"/>
        </w:rPr>
        <w:t xml:space="preserve"> and</w:t>
      </w:r>
      <w:r w:rsidRPr="006874A4">
        <w:rPr>
          <w:rFonts w:ascii="Open Sans" w:hAnsi="Open Sans" w:cs="Open Sans"/>
          <w:sz w:val="22"/>
          <w:szCs w:val="22"/>
        </w:rPr>
        <w:t xml:space="preserve"> they help with pain relief </w:t>
      </w:r>
      <w:r w:rsidR="005851C8" w:rsidRPr="006874A4">
        <w:rPr>
          <w:rFonts w:ascii="Open Sans" w:hAnsi="Open Sans" w:cs="Open Sans"/>
          <w:sz w:val="22"/>
          <w:szCs w:val="22"/>
        </w:rPr>
        <w:t>or</w:t>
      </w:r>
      <w:r w:rsidRPr="006874A4">
        <w:rPr>
          <w:rFonts w:ascii="Open Sans" w:hAnsi="Open Sans" w:cs="Open Sans"/>
          <w:sz w:val="22"/>
          <w:szCs w:val="22"/>
        </w:rPr>
        <w:t xml:space="preserve"> relaxation. The Asia Pacific region represents a growing market for CBD and is predicted to account for 23% of the worldwide spend by 2022.</w:t>
      </w:r>
      <w:r w:rsidRPr="006874A4">
        <w:rPr>
          <w:rStyle w:val="EndnoteReference"/>
          <w:rFonts w:ascii="Open Sans" w:hAnsi="Open Sans" w:cs="Open Sans"/>
          <w:sz w:val="22"/>
          <w:szCs w:val="22"/>
        </w:rPr>
        <w:endnoteReference w:id="1"/>
      </w:r>
      <w:r w:rsidRPr="006874A4">
        <w:rPr>
          <w:rFonts w:ascii="Open Sans" w:hAnsi="Open Sans" w:cs="Open Sans"/>
          <w:sz w:val="22"/>
          <w:szCs w:val="22"/>
        </w:rPr>
        <w:t xml:space="preserve">  At Vitafoods Asia 2019, CBD products will be featured for the first time with </w:t>
      </w:r>
      <w:proofErr w:type="spellStart"/>
      <w:r w:rsidRPr="006874A4">
        <w:rPr>
          <w:rFonts w:ascii="Open Sans" w:hAnsi="Open Sans" w:cs="Open Sans"/>
          <w:sz w:val="22"/>
          <w:szCs w:val="22"/>
        </w:rPr>
        <w:t>GenCanna</w:t>
      </w:r>
      <w:proofErr w:type="spellEnd"/>
      <w:r w:rsidRPr="006874A4">
        <w:rPr>
          <w:rFonts w:ascii="Open Sans" w:hAnsi="Open Sans" w:cs="Open Sans"/>
          <w:sz w:val="22"/>
          <w:szCs w:val="22"/>
        </w:rPr>
        <w:t xml:space="preserve"> Global Inc exhibiting.</w:t>
      </w:r>
    </w:p>
    <w:p w14:paraId="373B5FE0" w14:textId="77777777" w:rsidR="007B2DD3" w:rsidRPr="006874A4" w:rsidRDefault="007B2DD3" w:rsidP="007B2DD3">
      <w:pPr>
        <w:spacing w:after="0" w:line="240" w:lineRule="auto"/>
        <w:jc w:val="both"/>
        <w:rPr>
          <w:rFonts w:ascii="Open Sans" w:hAnsi="Open Sans" w:cs="Open Sans"/>
          <w:sz w:val="22"/>
          <w:szCs w:val="22"/>
        </w:rPr>
      </w:pPr>
    </w:p>
    <w:p w14:paraId="7BD9D46F" w14:textId="77777777" w:rsidR="007B2DD3" w:rsidRPr="006874A4" w:rsidRDefault="007B2DD3" w:rsidP="007B2DD3">
      <w:pPr>
        <w:spacing w:after="0" w:line="240" w:lineRule="auto"/>
        <w:jc w:val="both"/>
        <w:rPr>
          <w:rFonts w:ascii="Open Sans" w:hAnsi="Open Sans" w:cs="Open Sans"/>
          <w:sz w:val="22"/>
          <w:szCs w:val="22"/>
        </w:rPr>
      </w:pPr>
      <w:r w:rsidRPr="006874A4">
        <w:rPr>
          <w:rFonts w:ascii="Open Sans" w:hAnsi="Open Sans" w:cs="Open Sans"/>
          <w:b/>
          <w:sz w:val="22"/>
          <w:szCs w:val="22"/>
        </w:rPr>
        <w:t xml:space="preserve">2. Low Carb, High Protein </w:t>
      </w:r>
    </w:p>
    <w:p w14:paraId="6EB7B223" w14:textId="77777777" w:rsidR="007B2DD3" w:rsidRPr="006874A4" w:rsidRDefault="007B2DD3" w:rsidP="007B2DD3">
      <w:pPr>
        <w:spacing w:after="0" w:line="240" w:lineRule="auto"/>
        <w:jc w:val="both"/>
        <w:rPr>
          <w:rFonts w:ascii="Open Sans" w:hAnsi="Open Sans" w:cs="Open Sans"/>
          <w:sz w:val="22"/>
          <w:szCs w:val="22"/>
        </w:rPr>
      </w:pPr>
    </w:p>
    <w:p w14:paraId="6A5B7797" w14:textId="03BC34D1" w:rsidR="007B2DD3" w:rsidRPr="006874A4" w:rsidRDefault="005851C8" w:rsidP="007B2DD3">
      <w:pPr>
        <w:spacing w:after="0" w:line="240" w:lineRule="auto"/>
        <w:jc w:val="both"/>
        <w:rPr>
          <w:rFonts w:ascii="Open Sans" w:hAnsi="Open Sans" w:cs="Open Sans"/>
          <w:sz w:val="22"/>
          <w:szCs w:val="22"/>
        </w:rPr>
      </w:pPr>
      <w:r w:rsidRPr="006874A4">
        <w:rPr>
          <w:rFonts w:ascii="Open Sans" w:hAnsi="Open Sans" w:cs="Open Sans"/>
          <w:sz w:val="22"/>
          <w:szCs w:val="22"/>
        </w:rPr>
        <w:t>Across the world, d</w:t>
      </w:r>
      <w:r w:rsidR="007B2DD3" w:rsidRPr="006874A4">
        <w:rPr>
          <w:rFonts w:ascii="Open Sans" w:hAnsi="Open Sans" w:cs="Open Sans"/>
          <w:sz w:val="22"/>
          <w:szCs w:val="22"/>
        </w:rPr>
        <w:t>ieticians are recommending low carbohydrate, high protein diets to address diabetes, which, along with fad diet trends like keto and paleo, has increased demand for protein supplements.</w:t>
      </w:r>
      <w:r w:rsidRPr="006874A4">
        <w:rPr>
          <w:rFonts w:ascii="Open Sans" w:hAnsi="Open Sans" w:cs="Open Sans"/>
          <w:sz w:val="22"/>
          <w:szCs w:val="22"/>
        </w:rPr>
        <w:t xml:space="preserve"> </w:t>
      </w:r>
      <w:r w:rsidR="007B2DD3" w:rsidRPr="006874A4">
        <w:rPr>
          <w:rFonts w:ascii="Open Sans" w:hAnsi="Open Sans" w:cs="Open Sans"/>
          <w:sz w:val="22"/>
          <w:szCs w:val="22"/>
        </w:rPr>
        <w:t>To minimise food waste</w:t>
      </w:r>
      <w:r w:rsidRPr="006874A4">
        <w:rPr>
          <w:rFonts w:ascii="Open Sans" w:hAnsi="Open Sans" w:cs="Open Sans"/>
          <w:sz w:val="22"/>
          <w:szCs w:val="22"/>
        </w:rPr>
        <w:t xml:space="preserve"> and meet demand</w:t>
      </w:r>
      <w:r w:rsidR="007B2DD3" w:rsidRPr="006874A4">
        <w:rPr>
          <w:rFonts w:ascii="Open Sans" w:hAnsi="Open Sans" w:cs="Open Sans"/>
          <w:sz w:val="22"/>
          <w:szCs w:val="22"/>
        </w:rPr>
        <w:t xml:space="preserve">, protein is </w:t>
      </w:r>
      <w:r w:rsidRPr="006874A4">
        <w:rPr>
          <w:rFonts w:ascii="Open Sans" w:hAnsi="Open Sans" w:cs="Open Sans"/>
          <w:sz w:val="22"/>
          <w:szCs w:val="22"/>
        </w:rPr>
        <w:t xml:space="preserve">being </w:t>
      </w:r>
      <w:r w:rsidR="007B2DD3" w:rsidRPr="006874A4">
        <w:rPr>
          <w:rFonts w:ascii="Open Sans" w:hAnsi="Open Sans" w:cs="Open Sans"/>
          <w:sz w:val="22"/>
          <w:szCs w:val="22"/>
        </w:rPr>
        <w:t>harvested from the discards of cheese-making, Whey, and the discards of gelatine production, Collagen. Another result of the low carb diet is to substitute wheat flours with vegetable flours in baked goods and or to substitute starches using buckwheat, quinoa, red, and black rice to replace the staple white rice.</w:t>
      </w:r>
      <w:r w:rsidRPr="006874A4">
        <w:rPr>
          <w:rFonts w:ascii="Open Sans" w:hAnsi="Open Sans" w:cs="Open Sans"/>
          <w:sz w:val="22"/>
          <w:szCs w:val="22"/>
        </w:rPr>
        <w:t xml:space="preserve"> Discover food and beverage items that </w:t>
      </w:r>
      <w:r w:rsidR="007B2DD3" w:rsidRPr="006874A4">
        <w:rPr>
          <w:rFonts w:ascii="Open Sans" w:hAnsi="Open Sans" w:cs="Open Sans"/>
          <w:sz w:val="22"/>
          <w:szCs w:val="22"/>
        </w:rPr>
        <w:t xml:space="preserve">address </w:t>
      </w:r>
      <w:r w:rsidRPr="006874A4">
        <w:rPr>
          <w:rFonts w:ascii="Open Sans" w:hAnsi="Open Sans" w:cs="Open Sans"/>
          <w:sz w:val="22"/>
          <w:szCs w:val="22"/>
        </w:rPr>
        <w:t>this</w:t>
      </w:r>
      <w:r w:rsidR="007B2DD3" w:rsidRPr="006874A4">
        <w:rPr>
          <w:rFonts w:ascii="Open Sans" w:hAnsi="Open Sans" w:cs="Open Sans"/>
          <w:sz w:val="22"/>
          <w:szCs w:val="22"/>
        </w:rPr>
        <w:t xml:space="preserve"> trend </w:t>
      </w:r>
      <w:r w:rsidRPr="006874A4">
        <w:rPr>
          <w:rFonts w:ascii="Open Sans" w:hAnsi="Open Sans" w:cs="Open Sans"/>
          <w:sz w:val="22"/>
          <w:szCs w:val="22"/>
        </w:rPr>
        <w:t xml:space="preserve">at Vitafoods Asia 2019 from </w:t>
      </w:r>
      <w:r w:rsidR="007B2DD3" w:rsidRPr="006874A4">
        <w:rPr>
          <w:rFonts w:ascii="Open Sans" w:hAnsi="Open Sans" w:cs="Open Sans"/>
          <w:sz w:val="22"/>
          <w:szCs w:val="22"/>
        </w:rPr>
        <w:t xml:space="preserve">exhibitors such as </w:t>
      </w:r>
      <w:proofErr w:type="spellStart"/>
      <w:r w:rsidR="007B2DD3" w:rsidRPr="006874A4">
        <w:rPr>
          <w:rFonts w:ascii="Open Sans" w:hAnsi="Open Sans" w:cs="Open Sans"/>
          <w:sz w:val="22"/>
          <w:szCs w:val="22"/>
        </w:rPr>
        <w:t>Capsula</w:t>
      </w:r>
      <w:proofErr w:type="spellEnd"/>
      <w:r w:rsidR="007B2DD3" w:rsidRPr="006874A4">
        <w:rPr>
          <w:rFonts w:ascii="Open Sans" w:hAnsi="Open Sans" w:cs="Open Sans"/>
          <w:sz w:val="22"/>
          <w:szCs w:val="22"/>
        </w:rPr>
        <w:t xml:space="preserve"> GMBH, </w:t>
      </w:r>
      <w:proofErr w:type="spellStart"/>
      <w:r w:rsidR="007B2DD3" w:rsidRPr="006874A4">
        <w:rPr>
          <w:rFonts w:ascii="Open Sans" w:hAnsi="Open Sans" w:cs="Open Sans"/>
          <w:sz w:val="22"/>
          <w:szCs w:val="22"/>
        </w:rPr>
        <w:t>Gelita</w:t>
      </w:r>
      <w:proofErr w:type="spellEnd"/>
      <w:r w:rsidR="007B2DD3" w:rsidRPr="006874A4">
        <w:rPr>
          <w:rFonts w:ascii="Open Sans" w:hAnsi="Open Sans" w:cs="Open Sans"/>
          <w:sz w:val="22"/>
          <w:szCs w:val="22"/>
        </w:rPr>
        <w:t xml:space="preserve"> AG, </w:t>
      </w:r>
      <w:proofErr w:type="spellStart"/>
      <w:r w:rsidR="007B2DD3" w:rsidRPr="006874A4">
        <w:rPr>
          <w:rFonts w:ascii="Open Sans" w:hAnsi="Open Sans" w:cs="Open Sans"/>
          <w:sz w:val="22"/>
          <w:szCs w:val="22"/>
        </w:rPr>
        <w:t>Jusungfarm</w:t>
      </w:r>
      <w:proofErr w:type="spellEnd"/>
      <w:r w:rsidR="007B2DD3" w:rsidRPr="006874A4">
        <w:rPr>
          <w:rFonts w:ascii="Open Sans" w:hAnsi="Open Sans" w:cs="Open Sans"/>
          <w:sz w:val="22"/>
          <w:szCs w:val="22"/>
        </w:rPr>
        <w:t xml:space="preserve">, Moringa, and Weihai </w:t>
      </w:r>
      <w:proofErr w:type="spellStart"/>
      <w:r w:rsidR="007B2DD3" w:rsidRPr="006874A4">
        <w:rPr>
          <w:rFonts w:ascii="Open Sans" w:hAnsi="Open Sans" w:cs="Open Sans"/>
          <w:sz w:val="22"/>
          <w:szCs w:val="22"/>
        </w:rPr>
        <w:t>Unisplendour</w:t>
      </w:r>
      <w:proofErr w:type="spellEnd"/>
      <w:r w:rsidR="007B2DD3" w:rsidRPr="006874A4">
        <w:rPr>
          <w:rFonts w:ascii="Open Sans" w:hAnsi="Open Sans" w:cs="Open Sans"/>
          <w:sz w:val="22"/>
          <w:szCs w:val="22"/>
        </w:rPr>
        <w:t xml:space="preserve"> Technology.</w:t>
      </w:r>
    </w:p>
    <w:p w14:paraId="33235517" w14:textId="77777777" w:rsidR="005851C8" w:rsidRPr="006874A4" w:rsidRDefault="005851C8" w:rsidP="007B2DD3">
      <w:pPr>
        <w:spacing w:after="0" w:line="240" w:lineRule="auto"/>
        <w:jc w:val="both"/>
        <w:rPr>
          <w:rFonts w:ascii="Open Sans" w:hAnsi="Open Sans" w:cs="Open Sans"/>
          <w:b/>
          <w:sz w:val="22"/>
          <w:szCs w:val="22"/>
        </w:rPr>
      </w:pPr>
    </w:p>
    <w:p w14:paraId="0FF71B21" w14:textId="6BB252E7" w:rsidR="007B2DD3" w:rsidRPr="006874A4" w:rsidRDefault="007B2DD3" w:rsidP="007B2DD3">
      <w:pPr>
        <w:spacing w:after="0" w:line="240" w:lineRule="auto"/>
        <w:jc w:val="both"/>
        <w:rPr>
          <w:rFonts w:ascii="Open Sans" w:hAnsi="Open Sans" w:cs="Open Sans"/>
          <w:sz w:val="22"/>
          <w:szCs w:val="22"/>
        </w:rPr>
      </w:pPr>
      <w:r w:rsidRPr="006874A4">
        <w:rPr>
          <w:rFonts w:ascii="Open Sans" w:hAnsi="Open Sans" w:cs="Open Sans"/>
          <w:b/>
          <w:sz w:val="22"/>
          <w:szCs w:val="22"/>
        </w:rPr>
        <w:t>3. Willingness of Consumers to pay a premium price</w:t>
      </w:r>
      <w:r w:rsidRPr="006874A4">
        <w:rPr>
          <w:rFonts w:ascii="Open Sans" w:hAnsi="Open Sans" w:cs="Open Sans"/>
          <w:sz w:val="22"/>
          <w:szCs w:val="22"/>
        </w:rPr>
        <w:t xml:space="preserve"> </w:t>
      </w:r>
    </w:p>
    <w:p w14:paraId="15D87105" w14:textId="77777777" w:rsidR="007B2DD3" w:rsidRPr="006874A4" w:rsidRDefault="007B2DD3" w:rsidP="007B2DD3">
      <w:pPr>
        <w:spacing w:after="0" w:line="240" w:lineRule="auto"/>
        <w:jc w:val="both"/>
        <w:rPr>
          <w:rFonts w:ascii="Open Sans" w:hAnsi="Open Sans" w:cs="Open Sans"/>
          <w:sz w:val="22"/>
          <w:szCs w:val="22"/>
        </w:rPr>
      </w:pPr>
    </w:p>
    <w:p w14:paraId="58C31099" w14:textId="6F0D40B6" w:rsidR="007B2DD3" w:rsidRPr="006874A4" w:rsidRDefault="007B2DD3" w:rsidP="007B2DD3">
      <w:pPr>
        <w:spacing w:after="0" w:line="240" w:lineRule="auto"/>
        <w:jc w:val="both"/>
        <w:rPr>
          <w:rFonts w:ascii="Open Sans" w:hAnsi="Open Sans" w:cs="Open Sans"/>
          <w:sz w:val="22"/>
          <w:szCs w:val="22"/>
        </w:rPr>
      </w:pPr>
      <w:r w:rsidRPr="006874A4">
        <w:rPr>
          <w:rFonts w:ascii="Open Sans" w:hAnsi="Open Sans" w:cs="Open Sans"/>
          <w:sz w:val="22"/>
          <w:szCs w:val="22"/>
        </w:rPr>
        <w:t xml:space="preserve">Convenience foods that tie with a trend are commanding premiums of 100-300% over regular versions of the same food, e.g. high-protein bars and puddings. Vitafoods Asia offers great opportunities to source </w:t>
      </w:r>
      <w:r w:rsidR="005851C8" w:rsidRPr="006874A4">
        <w:rPr>
          <w:rFonts w:ascii="Open Sans" w:hAnsi="Open Sans" w:cs="Open Sans"/>
          <w:sz w:val="22"/>
          <w:szCs w:val="22"/>
        </w:rPr>
        <w:t xml:space="preserve">finished, </w:t>
      </w:r>
      <w:r w:rsidRPr="006874A4">
        <w:rPr>
          <w:rFonts w:ascii="Open Sans" w:hAnsi="Open Sans" w:cs="Open Sans"/>
          <w:sz w:val="22"/>
          <w:szCs w:val="22"/>
        </w:rPr>
        <w:t xml:space="preserve">branded and OEM products, </w:t>
      </w:r>
      <w:r w:rsidR="005851C8" w:rsidRPr="006874A4">
        <w:rPr>
          <w:rFonts w:ascii="Open Sans" w:hAnsi="Open Sans" w:cs="Open Sans"/>
          <w:sz w:val="22"/>
          <w:szCs w:val="22"/>
        </w:rPr>
        <w:t xml:space="preserve">from </w:t>
      </w:r>
      <w:r w:rsidRPr="006874A4">
        <w:rPr>
          <w:rFonts w:ascii="Open Sans" w:hAnsi="Open Sans" w:cs="Open Sans"/>
          <w:sz w:val="22"/>
          <w:szCs w:val="22"/>
        </w:rPr>
        <w:t xml:space="preserve">suppliers such as Kerry, </w:t>
      </w:r>
      <w:proofErr w:type="spellStart"/>
      <w:r w:rsidRPr="006874A4">
        <w:rPr>
          <w:rFonts w:ascii="Open Sans" w:hAnsi="Open Sans" w:cs="Open Sans"/>
          <w:sz w:val="22"/>
          <w:szCs w:val="22"/>
        </w:rPr>
        <w:lastRenderedPageBreak/>
        <w:t>Nutriobio</w:t>
      </w:r>
      <w:proofErr w:type="spellEnd"/>
      <w:r w:rsidRPr="006874A4">
        <w:rPr>
          <w:rFonts w:ascii="Open Sans" w:hAnsi="Open Sans" w:cs="Open Sans"/>
          <w:sz w:val="22"/>
          <w:szCs w:val="22"/>
        </w:rPr>
        <w:t xml:space="preserve"> and </w:t>
      </w:r>
      <w:proofErr w:type="spellStart"/>
      <w:r w:rsidRPr="006874A4">
        <w:rPr>
          <w:rFonts w:ascii="Open Sans" w:hAnsi="Open Sans" w:cs="Open Sans"/>
          <w:sz w:val="22"/>
          <w:szCs w:val="22"/>
        </w:rPr>
        <w:t>AstaReal</w:t>
      </w:r>
      <w:proofErr w:type="spellEnd"/>
      <w:r w:rsidRPr="006874A4">
        <w:rPr>
          <w:rFonts w:ascii="Open Sans" w:hAnsi="Open Sans" w:cs="Open Sans"/>
          <w:sz w:val="22"/>
          <w:szCs w:val="22"/>
        </w:rPr>
        <w:t xml:space="preserve">. </w:t>
      </w:r>
      <w:r w:rsidR="005851C8" w:rsidRPr="006874A4">
        <w:rPr>
          <w:rFonts w:ascii="Open Sans" w:hAnsi="Open Sans" w:cs="Open Sans"/>
          <w:sz w:val="22"/>
          <w:szCs w:val="22"/>
        </w:rPr>
        <w:t>D</w:t>
      </w:r>
      <w:r w:rsidRPr="006874A4">
        <w:rPr>
          <w:rFonts w:ascii="Open Sans" w:hAnsi="Open Sans" w:cs="Open Sans"/>
          <w:sz w:val="22"/>
          <w:szCs w:val="22"/>
        </w:rPr>
        <w:t xml:space="preserve">iscover </w:t>
      </w:r>
      <w:r w:rsidR="005851C8" w:rsidRPr="006874A4">
        <w:rPr>
          <w:rFonts w:ascii="Open Sans" w:hAnsi="Open Sans" w:cs="Open Sans"/>
          <w:sz w:val="22"/>
          <w:szCs w:val="22"/>
        </w:rPr>
        <w:t>these</w:t>
      </w:r>
      <w:r w:rsidRPr="006874A4">
        <w:rPr>
          <w:rFonts w:ascii="Open Sans" w:hAnsi="Open Sans" w:cs="Open Sans"/>
          <w:sz w:val="22"/>
          <w:szCs w:val="22"/>
        </w:rPr>
        <w:t xml:space="preserve"> food and beverage</w:t>
      </w:r>
      <w:r w:rsidR="005851C8" w:rsidRPr="006874A4">
        <w:rPr>
          <w:rFonts w:ascii="Open Sans" w:hAnsi="Open Sans" w:cs="Open Sans"/>
          <w:sz w:val="22"/>
          <w:szCs w:val="22"/>
        </w:rPr>
        <w:t xml:space="preserve"> item</w:t>
      </w:r>
      <w:r w:rsidRPr="006874A4">
        <w:rPr>
          <w:rFonts w:ascii="Open Sans" w:hAnsi="Open Sans" w:cs="Open Sans"/>
          <w:sz w:val="22"/>
          <w:szCs w:val="22"/>
        </w:rPr>
        <w:t>s</w:t>
      </w:r>
      <w:r w:rsidR="005851C8" w:rsidRPr="006874A4">
        <w:rPr>
          <w:rFonts w:ascii="Open Sans" w:hAnsi="Open Sans" w:cs="Open Sans"/>
          <w:sz w:val="22"/>
          <w:szCs w:val="22"/>
        </w:rPr>
        <w:t xml:space="preserve"> at the Tasting Bar</w:t>
      </w:r>
      <w:r w:rsidRPr="006874A4">
        <w:rPr>
          <w:rFonts w:ascii="Open Sans" w:hAnsi="Open Sans" w:cs="Open Sans"/>
          <w:sz w:val="22"/>
          <w:szCs w:val="22"/>
        </w:rPr>
        <w:t xml:space="preserve">, </w:t>
      </w:r>
      <w:r w:rsidR="005851C8" w:rsidRPr="006874A4">
        <w:rPr>
          <w:rFonts w:ascii="Open Sans" w:hAnsi="Open Sans" w:cs="Open Sans"/>
          <w:sz w:val="22"/>
          <w:szCs w:val="22"/>
        </w:rPr>
        <w:t xml:space="preserve">and </w:t>
      </w:r>
      <w:r w:rsidRPr="006874A4">
        <w:rPr>
          <w:rFonts w:ascii="Open Sans" w:hAnsi="Open Sans" w:cs="Open Sans"/>
          <w:sz w:val="22"/>
          <w:szCs w:val="22"/>
        </w:rPr>
        <w:t xml:space="preserve">vote </w:t>
      </w:r>
      <w:r w:rsidR="005851C8" w:rsidRPr="006874A4">
        <w:rPr>
          <w:rFonts w:ascii="Open Sans" w:hAnsi="Open Sans" w:cs="Open Sans"/>
          <w:sz w:val="22"/>
          <w:szCs w:val="22"/>
        </w:rPr>
        <w:t xml:space="preserve">for </w:t>
      </w:r>
      <w:r w:rsidRPr="006874A4">
        <w:rPr>
          <w:rFonts w:ascii="Open Sans" w:hAnsi="Open Sans" w:cs="Open Sans"/>
          <w:sz w:val="22"/>
          <w:szCs w:val="22"/>
        </w:rPr>
        <w:t xml:space="preserve">the best tasting products. At Vitafoods Asia 2018, </w:t>
      </w:r>
      <w:proofErr w:type="spellStart"/>
      <w:r w:rsidRPr="006874A4">
        <w:rPr>
          <w:rFonts w:ascii="Open Sans" w:hAnsi="Open Sans" w:cs="Open Sans"/>
          <w:sz w:val="22"/>
          <w:szCs w:val="22"/>
        </w:rPr>
        <w:t>Nutribio</w:t>
      </w:r>
      <w:proofErr w:type="spellEnd"/>
      <w:r w:rsidRPr="006874A4">
        <w:rPr>
          <w:rFonts w:ascii="Open Sans" w:hAnsi="Open Sans" w:cs="Open Sans"/>
          <w:sz w:val="22"/>
          <w:szCs w:val="22"/>
        </w:rPr>
        <w:t xml:space="preserve"> and </w:t>
      </w:r>
      <w:proofErr w:type="spellStart"/>
      <w:r w:rsidRPr="006874A4">
        <w:rPr>
          <w:rFonts w:ascii="Open Sans" w:hAnsi="Open Sans" w:cs="Open Sans"/>
          <w:sz w:val="22"/>
          <w:szCs w:val="22"/>
        </w:rPr>
        <w:t>AstaReal</w:t>
      </w:r>
      <w:proofErr w:type="spellEnd"/>
      <w:r w:rsidRPr="006874A4">
        <w:rPr>
          <w:rFonts w:ascii="Open Sans" w:hAnsi="Open Sans" w:cs="Open Sans"/>
          <w:sz w:val="22"/>
          <w:szCs w:val="22"/>
        </w:rPr>
        <w:t xml:space="preserve"> were both winners at the Tasting Bar Awards. The visitors awarded </w:t>
      </w:r>
      <w:proofErr w:type="spellStart"/>
      <w:r w:rsidRPr="006874A4">
        <w:rPr>
          <w:rFonts w:ascii="Open Sans" w:hAnsi="Open Sans" w:cs="Open Sans"/>
          <w:sz w:val="22"/>
          <w:szCs w:val="22"/>
        </w:rPr>
        <w:t>Nutribio’s</w:t>
      </w:r>
      <w:proofErr w:type="spellEnd"/>
      <w:r w:rsidRPr="006874A4">
        <w:rPr>
          <w:rFonts w:ascii="Open Sans" w:hAnsi="Open Sans" w:cs="Open Sans"/>
          <w:sz w:val="22"/>
          <w:szCs w:val="22"/>
        </w:rPr>
        <w:t xml:space="preserve"> ‘Triple Layer Vanilla &amp; Brownie bar’ the Best Functional Food winner; and </w:t>
      </w:r>
      <w:proofErr w:type="spellStart"/>
      <w:r w:rsidRPr="006874A4">
        <w:rPr>
          <w:rFonts w:ascii="Open Sans" w:hAnsi="Open Sans" w:cs="Open Sans"/>
          <w:sz w:val="22"/>
          <w:szCs w:val="22"/>
        </w:rPr>
        <w:t>AstaReal’s</w:t>
      </w:r>
      <w:proofErr w:type="spellEnd"/>
      <w:r w:rsidRPr="006874A4">
        <w:rPr>
          <w:rFonts w:ascii="Open Sans" w:hAnsi="Open Sans" w:cs="Open Sans"/>
          <w:sz w:val="22"/>
          <w:szCs w:val="22"/>
        </w:rPr>
        <w:t xml:space="preserve"> ‘</w:t>
      </w:r>
      <w:proofErr w:type="spellStart"/>
      <w:r w:rsidRPr="006874A4">
        <w:rPr>
          <w:rFonts w:ascii="Open Sans" w:hAnsi="Open Sans" w:cs="Open Sans"/>
          <w:sz w:val="22"/>
          <w:szCs w:val="22"/>
        </w:rPr>
        <w:t>SoothMe</w:t>
      </w:r>
      <w:proofErr w:type="spellEnd"/>
      <w:r w:rsidRPr="006874A4">
        <w:rPr>
          <w:rFonts w:ascii="Open Sans" w:hAnsi="Open Sans" w:cs="Open Sans"/>
          <w:sz w:val="22"/>
          <w:szCs w:val="22"/>
        </w:rPr>
        <w:t>’ the Best Functional Beverage.</w:t>
      </w:r>
    </w:p>
    <w:p w14:paraId="4E6091E0" w14:textId="77777777" w:rsidR="007B2DD3" w:rsidRPr="006874A4" w:rsidRDefault="007B2DD3" w:rsidP="007B2DD3">
      <w:pPr>
        <w:spacing w:after="0" w:line="240" w:lineRule="auto"/>
        <w:jc w:val="both"/>
        <w:rPr>
          <w:rFonts w:ascii="Open Sans" w:hAnsi="Open Sans" w:cs="Open Sans"/>
          <w:sz w:val="22"/>
          <w:szCs w:val="22"/>
        </w:rPr>
      </w:pPr>
    </w:p>
    <w:p w14:paraId="69C92579" w14:textId="77777777" w:rsidR="007B2DD3" w:rsidRPr="006874A4" w:rsidRDefault="007B2DD3" w:rsidP="007B2DD3">
      <w:pPr>
        <w:spacing w:after="0" w:line="240" w:lineRule="auto"/>
        <w:jc w:val="both"/>
        <w:rPr>
          <w:rFonts w:ascii="Open Sans" w:hAnsi="Open Sans" w:cs="Open Sans"/>
          <w:sz w:val="22"/>
          <w:szCs w:val="22"/>
        </w:rPr>
      </w:pPr>
      <w:r w:rsidRPr="006874A4">
        <w:rPr>
          <w:rFonts w:ascii="Open Sans" w:hAnsi="Open Sans" w:cs="Open Sans"/>
          <w:b/>
          <w:sz w:val="22"/>
          <w:szCs w:val="22"/>
        </w:rPr>
        <w:t xml:space="preserve">4. Provenance </w:t>
      </w:r>
      <w:r w:rsidRPr="006874A4">
        <w:rPr>
          <w:rFonts w:ascii="Open Sans" w:hAnsi="Open Sans" w:cs="Open Sans"/>
          <w:sz w:val="22"/>
          <w:szCs w:val="22"/>
        </w:rPr>
        <w:softHyphen/>
      </w:r>
    </w:p>
    <w:p w14:paraId="64AF90C2" w14:textId="77777777" w:rsidR="007B2DD3" w:rsidRPr="006874A4" w:rsidRDefault="007B2DD3" w:rsidP="007B2DD3">
      <w:pPr>
        <w:spacing w:after="0" w:line="240" w:lineRule="auto"/>
        <w:jc w:val="both"/>
        <w:rPr>
          <w:rFonts w:ascii="Open Sans" w:hAnsi="Open Sans" w:cs="Open Sans"/>
          <w:sz w:val="22"/>
          <w:szCs w:val="22"/>
        </w:rPr>
      </w:pPr>
    </w:p>
    <w:p w14:paraId="3E5161B5" w14:textId="62B3A76A" w:rsidR="007B2DD3" w:rsidRPr="006874A4" w:rsidRDefault="005851C8" w:rsidP="007B2DD3">
      <w:pPr>
        <w:spacing w:after="0" w:line="240" w:lineRule="auto"/>
        <w:jc w:val="both"/>
        <w:rPr>
          <w:rFonts w:ascii="Open Sans" w:hAnsi="Open Sans" w:cs="Open Sans"/>
          <w:sz w:val="22"/>
          <w:szCs w:val="22"/>
        </w:rPr>
      </w:pPr>
      <w:r w:rsidRPr="006874A4">
        <w:rPr>
          <w:rFonts w:ascii="Open Sans" w:hAnsi="Open Sans" w:cs="Open Sans"/>
          <w:sz w:val="22"/>
          <w:szCs w:val="22"/>
        </w:rPr>
        <w:t>Consumer interest in the provenance of</w:t>
      </w:r>
      <w:r w:rsidR="007B2DD3" w:rsidRPr="006874A4">
        <w:rPr>
          <w:rFonts w:ascii="Open Sans" w:hAnsi="Open Sans" w:cs="Open Sans"/>
          <w:sz w:val="22"/>
          <w:szCs w:val="22"/>
        </w:rPr>
        <w:t xml:space="preserve"> healthy products </w:t>
      </w:r>
      <w:r w:rsidRPr="006874A4">
        <w:rPr>
          <w:rFonts w:ascii="Open Sans" w:hAnsi="Open Sans" w:cs="Open Sans"/>
          <w:sz w:val="22"/>
          <w:szCs w:val="22"/>
        </w:rPr>
        <w:t xml:space="preserve">is increasing demand for products </w:t>
      </w:r>
      <w:r w:rsidR="007B2DD3" w:rsidRPr="006874A4">
        <w:rPr>
          <w:rFonts w:ascii="Open Sans" w:hAnsi="Open Sans" w:cs="Open Sans"/>
          <w:sz w:val="22"/>
          <w:szCs w:val="22"/>
        </w:rPr>
        <w:t>sourced from Australia, New Zealand</w:t>
      </w:r>
      <w:r w:rsidRPr="006874A4">
        <w:rPr>
          <w:rFonts w:ascii="Open Sans" w:hAnsi="Open Sans" w:cs="Open Sans"/>
          <w:sz w:val="22"/>
          <w:szCs w:val="22"/>
        </w:rPr>
        <w:t xml:space="preserve"> </w:t>
      </w:r>
      <w:r w:rsidR="007B2DD3" w:rsidRPr="006874A4">
        <w:rPr>
          <w:rFonts w:ascii="Open Sans" w:hAnsi="Open Sans" w:cs="Open Sans"/>
          <w:sz w:val="22"/>
          <w:szCs w:val="22"/>
        </w:rPr>
        <w:t xml:space="preserve">and France </w:t>
      </w:r>
      <w:r w:rsidRPr="006874A4">
        <w:rPr>
          <w:rFonts w:ascii="Open Sans" w:hAnsi="Open Sans" w:cs="Open Sans"/>
          <w:sz w:val="22"/>
          <w:szCs w:val="22"/>
        </w:rPr>
        <w:t xml:space="preserve">in Asia, </w:t>
      </w:r>
      <w:r w:rsidR="007B2DD3" w:rsidRPr="006874A4">
        <w:rPr>
          <w:rFonts w:ascii="Open Sans" w:hAnsi="Open Sans" w:cs="Open Sans"/>
          <w:sz w:val="22"/>
          <w:szCs w:val="22"/>
        </w:rPr>
        <w:t xml:space="preserve">helping </w:t>
      </w:r>
      <w:r w:rsidRPr="006874A4">
        <w:rPr>
          <w:rFonts w:ascii="Open Sans" w:hAnsi="Open Sans" w:cs="Open Sans"/>
          <w:sz w:val="22"/>
          <w:szCs w:val="22"/>
        </w:rPr>
        <w:t xml:space="preserve">to </w:t>
      </w:r>
      <w:r w:rsidR="007B2DD3" w:rsidRPr="006874A4">
        <w:rPr>
          <w:rFonts w:ascii="Open Sans" w:hAnsi="Open Sans" w:cs="Open Sans"/>
          <w:sz w:val="22"/>
          <w:szCs w:val="22"/>
        </w:rPr>
        <w:t>drive sales of nutraceuticals</w:t>
      </w:r>
      <w:r w:rsidRPr="006874A4">
        <w:rPr>
          <w:rFonts w:ascii="Open Sans" w:hAnsi="Open Sans" w:cs="Open Sans"/>
          <w:sz w:val="22"/>
          <w:szCs w:val="22"/>
        </w:rPr>
        <w:t xml:space="preserve"> across the region,</w:t>
      </w:r>
      <w:r w:rsidR="007B2DD3" w:rsidRPr="006874A4">
        <w:rPr>
          <w:rFonts w:ascii="Open Sans" w:hAnsi="Open Sans" w:cs="Open Sans"/>
          <w:sz w:val="22"/>
          <w:szCs w:val="22"/>
        </w:rPr>
        <w:t xml:space="preserve"> especially in China</w:t>
      </w:r>
      <w:r w:rsidR="007B2DD3" w:rsidRPr="006874A4">
        <w:rPr>
          <w:rStyle w:val="EndnoteReference"/>
          <w:rFonts w:ascii="Open Sans" w:hAnsi="Open Sans" w:cs="Open Sans"/>
          <w:sz w:val="22"/>
          <w:szCs w:val="22"/>
        </w:rPr>
        <w:endnoteReference w:id="2"/>
      </w:r>
      <w:r w:rsidR="007B2DD3" w:rsidRPr="006874A4">
        <w:rPr>
          <w:rFonts w:ascii="Open Sans" w:hAnsi="Open Sans" w:cs="Open Sans"/>
          <w:sz w:val="22"/>
          <w:szCs w:val="22"/>
        </w:rPr>
        <w:t xml:space="preserve">. Vitafoods Asia makes it easy for Asian buyers to discover provenance brands in one place as the show attracts 350 international exhibitors from over 40 countries. </w:t>
      </w:r>
    </w:p>
    <w:p w14:paraId="531E2090" w14:textId="77777777" w:rsidR="007B2DD3" w:rsidRPr="006874A4" w:rsidRDefault="007B2DD3" w:rsidP="007B2DD3">
      <w:pPr>
        <w:spacing w:after="0" w:line="240" w:lineRule="auto"/>
        <w:jc w:val="both"/>
        <w:rPr>
          <w:rFonts w:ascii="Open Sans" w:hAnsi="Open Sans" w:cs="Open Sans"/>
          <w:b/>
          <w:sz w:val="22"/>
          <w:szCs w:val="22"/>
        </w:rPr>
      </w:pPr>
    </w:p>
    <w:p w14:paraId="45D41CEA" w14:textId="77777777" w:rsidR="007B2DD3" w:rsidRPr="006874A4" w:rsidRDefault="007B2DD3" w:rsidP="007B2DD3">
      <w:pPr>
        <w:spacing w:after="0" w:line="240" w:lineRule="auto"/>
        <w:jc w:val="both"/>
        <w:rPr>
          <w:rFonts w:ascii="Open Sans" w:hAnsi="Open Sans" w:cs="Open Sans"/>
          <w:sz w:val="22"/>
          <w:szCs w:val="22"/>
        </w:rPr>
      </w:pPr>
      <w:r w:rsidRPr="006874A4">
        <w:rPr>
          <w:rFonts w:ascii="Open Sans" w:hAnsi="Open Sans" w:cs="Open Sans"/>
          <w:b/>
          <w:sz w:val="22"/>
          <w:szCs w:val="22"/>
        </w:rPr>
        <w:t>5. Nutricosmetics</w:t>
      </w:r>
      <w:r w:rsidRPr="006874A4">
        <w:rPr>
          <w:rFonts w:ascii="Open Sans" w:hAnsi="Open Sans" w:cs="Open Sans"/>
          <w:sz w:val="22"/>
          <w:szCs w:val="22"/>
        </w:rPr>
        <w:t xml:space="preserve"> </w:t>
      </w:r>
    </w:p>
    <w:p w14:paraId="7566065C" w14:textId="77777777" w:rsidR="007B2DD3" w:rsidRPr="006874A4" w:rsidRDefault="007B2DD3" w:rsidP="007B2DD3">
      <w:pPr>
        <w:spacing w:after="0" w:line="240" w:lineRule="auto"/>
        <w:jc w:val="both"/>
        <w:rPr>
          <w:rFonts w:ascii="Open Sans" w:hAnsi="Open Sans" w:cs="Open Sans"/>
          <w:sz w:val="22"/>
          <w:szCs w:val="22"/>
        </w:rPr>
      </w:pPr>
    </w:p>
    <w:p w14:paraId="660EF0F4" w14:textId="00754B63" w:rsidR="007B2DD3" w:rsidRPr="006874A4" w:rsidRDefault="007D1920" w:rsidP="007B2DD3">
      <w:pPr>
        <w:spacing w:after="0" w:line="240" w:lineRule="auto"/>
        <w:jc w:val="both"/>
        <w:rPr>
          <w:rFonts w:ascii="Open Sans" w:hAnsi="Open Sans" w:cs="Open Sans"/>
          <w:sz w:val="22"/>
          <w:szCs w:val="22"/>
        </w:rPr>
      </w:pPr>
      <w:r w:rsidRPr="006874A4">
        <w:rPr>
          <w:rFonts w:ascii="Open Sans" w:hAnsi="Open Sans" w:cs="Open Sans"/>
          <w:sz w:val="22"/>
          <w:szCs w:val="22"/>
        </w:rPr>
        <w:t xml:space="preserve">Nutricosmetics </w:t>
      </w:r>
      <w:r w:rsidR="007B2DD3" w:rsidRPr="006874A4">
        <w:rPr>
          <w:rFonts w:ascii="Open Sans" w:hAnsi="Open Sans" w:cs="Open Sans"/>
          <w:sz w:val="22"/>
          <w:szCs w:val="22"/>
        </w:rPr>
        <w:t>blend cosmetics with nutraceuticals</w:t>
      </w:r>
      <w:r w:rsidRPr="006874A4">
        <w:rPr>
          <w:rFonts w:ascii="Open Sans" w:hAnsi="Open Sans" w:cs="Open Sans"/>
          <w:sz w:val="22"/>
          <w:szCs w:val="22"/>
        </w:rPr>
        <w:t xml:space="preserve"> and can address issues associated with healthy aging</w:t>
      </w:r>
      <w:r w:rsidR="007B2DD3" w:rsidRPr="006874A4">
        <w:rPr>
          <w:rFonts w:ascii="Open Sans" w:hAnsi="Open Sans" w:cs="Open Sans"/>
          <w:sz w:val="22"/>
          <w:szCs w:val="22"/>
        </w:rPr>
        <w:t>. According to a report by Grand View Research, investment in novel formulations for aesthetic appeal has strengthened</w:t>
      </w:r>
      <w:r w:rsidRPr="006874A4">
        <w:rPr>
          <w:rFonts w:ascii="Open Sans" w:hAnsi="Open Sans" w:cs="Open Sans"/>
          <w:sz w:val="22"/>
          <w:szCs w:val="22"/>
        </w:rPr>
        <w:t xml:space="preserve"> </w:t>
      </w:r>
      <w:r w:rsidR="007B2DD3" w:rsidRPr="006874A4">
        <w:rPr>
          <w:rFonts w:ascii="Open Sans" w:hAnsi="Open Sans" w:cs="Open Sans"/>
          <w:sz w:val="22"/>
          <w:szCs w:val="22"/>
        </w:rPr>
        <w:t xml:space="preserve">demand </w:t>
      </w:r>
      <w:r w:rsidRPr="006874A4">
        <w:rPr>
          <w:rFonts w:ascii="Open Sans" w:hAnsi="Open Sans" w:cs="Open Sans"/>
          <w:sz w:val="22"/>
          <w:szCs w:val="22"/>
        </w:rPr>
        <w:t>from Indonesia, the Philippines and Vietnam</w:t>
      </w:r>
      <w:r w:rsidR="007B2DD3" w:rsidRPr="006874A4">
        <w:rPr>
          <w:rFonts w:ascii="Open Sans" w:hAnsi="Open Sans" w:cs="Open Sans"/>
          <w:sz w:val="22"/>
          <w:szCs w:val="22"/>
        </w:rPr>
        <w:t xml:space="preserve">. Vitafoods Asia 2019 will </w:t>
      </w:r>
      <w:r w:rsidRPr="006874A4">
        <w:rPr>
          <w:rFonts w:ascii="Open Sans" w:hAnsi="Open Sans" w:cs="Open Sans"/>
          <w:sz w:val="22"/>
          <w:szCs w:val="22"/>
        </w:rPr>
        <w:t>feature nutricosmetic products from exhibitors such as</w:t>
      </w:r>
      <w:r w:rsidR="007B2DD3" w:rsidRPr="006874A4">
        <w:rPr>
          <w:rFonts w:ascii="Open Sans" w:hAnsi="Open Sans" w:cs="Open Sans"/>
          <w:sz w:val="22"/>
          <w:szCs w:val="22"/>
        </w:rPr>
        <w:t xml:space="preserve"> </w:t>
      </w:r>
      <w:proofErr w:type="spellStart"/>
      <w:r w:rsidR="007B2DD3" w:rsidRPr="006874A4">
        <w:rPr>
          <w:rFonts w:ascii="Open Sans" w:hAnsi="Open Sans" w:cs="Open Sans"/>
          <w:sz w:val="22"/>
          <w:szCs w:val="22"/>
        </w:rPr>
        <w:t>Capsula</w:t>
      </w:r>
      <w:proofErr w:type="spellEnd"/>
      <w:r w:rsidR="007B2DD3" w:rsidRPr="006874A4">
        <w:rPr>
          <w:rFonts w:ascii="Open Sans" w:hAnsi="Open Sans" w:cs="Open Sans"/>
          <w:sz w:val="22"/>
          <w:szCs w:val="22"/>
        </w:rPr>
        <w:t xml:space="preserve"> GmbH, Dr Paul Lohman (Asia) Pte Ltd, </w:t>
      </w:r>
      <w:proofErr w:type="spellStart"/>
      <w:r w:rsidR="007B2DD3" w:rsidRPr="006874A4">
        <w:rPr>
          <w:rFonts w:ascii="Open Sans" w:hAnsi="Open Sans" w:cs="Open Sans"/>
          <w:sz w:val="22"/>
          <w:szCs w:val="22"/>
        </w:rPr>
        <w:t>Gelita</w:t>
      </w:r>
      <w:proofErr w:type="spellEnd"/>
      <w:r w:rsidR="007B2DD3" w:rsidRPr="006874A4">
        <w:rPr>
          <w:rFonts w:ascii="Open Sans" w:hAnsi="Open Sans" w:cs="Open Sans"/>
          <w:sz w:val="22"/>
          <w:szCs w:val="22"/>
        </w:rPr>
        <w:t xml:space="preserve"> AG, Phil Inter Pharma and </w:t>
      </w:r>
      <w:proofErr w:type="spellStart"/>
      <w:r w:rsidR="007B2DD3" w:rsidRPr="006874A4">
        <w:rPr>
          <w:rFonts w:ascii="Open Sans" w:hAnsi="Open Sans" w:cs="Open Sans"/>
          <w:sz w:val="22"/>
          <w:szCs w:val="22"/>
        </w:rPr>
        <w:t>Biocell</w:t>
      </w:r>
      <w:proofErr w:type="spellEnd"/>
      <w:r w:rsidR="007B2DD3" w:rsidRPr="006874A4">
        <w:rPr>
          <w:rFonts w:ascii="Open Sans" w:hAnsi="Open Sans" w:cs="Open Sans"/>
          <w:sz w:val="22"/>
          <w:szCs w:val="22"/>
        </w:rPr>
        <w:t xml:space="preserve"> Technology.</w:t>
      </w:r>
    </w:p>
    <w:p w14:paraId="663EB274" w14:textId="77777777" w:rsidR="007B2DD3" w:rsidRPr="006874A4" w:rsidRDefault="007B2DD3" w:rsidP="007B2DD3">
      <w:pPr>
        <w:spacing w:after="0" w:line="240" w:lineRule="auto"/>
        <w:jc w:val="both"/>
        <w:rPr>
          <w:rFonts w:ascii="Open Sans" w:hAnsi="Open Sans" w:cs="Open Sans"/>
          <w:sz w:val="22"/>
          <w:szCs w:val="22"/>
        </w:rPr>
      </w:pPr>
    </w:p>
    <w:p w14:paraId="0E5108F9" w14:textId="77777777" w:rsidR="007B2DD3" w:rsidRPr="006874A4" w:rsidRDefault="007B2DD3" w:rsidP="007B2DD3">
      <w:pPr>
        <w:spacing w:after="0" w:line="240" w:lineRule="auto"/>
        <w:jc w:val="both"/>
        <w:rPr>
          <w:rFonts w:ascii="Open Sans" w:hAnsi="Open Sans" w:cs="Open Sans"/>
          <w:b/>
          <w:sz w:val="22"/>
          <w:szCs w:val="22"/>
        </w:rPr>
      </w:pPr>
      <w:r w:rsidRPr="006874A4">
        <w:rPr>
          <w:rFonts w:ascii="Open Sans" w:hAnsi="Open Sans" w:cs="Open Sans"/>
          <w:b/>
          <w:sz w:val="22"/>
          <w:szCs w:val="22"/>
        </w:rPr>
        <w:t>6. Healthy aging</w:t>
      </w:r>
    </w:p>
    <w:p w14:paraId="55D20376" w14:textId="77777777" w:rsidR="007B2DD3" w:rsidRPr="006874A4" w:rsidRDefault="007B2DD3" w:rsidP="007B2DD3">
      <w:pPr>
        <w:spacing w:after="0" w:line="240" w:lineRule="auto"/>
        <w:jc w:val="both"/>
        <w:rPr>
          <w:rFonts w:ascii="Open Sans" w:hAnsi="Open Sans" w:cs="Open Sans"/>
          <w:sz w:val="22"/>
          <w:szCs w:val="22"/>
        </w:rPr>
      </w:pPr>
    </w:p>
    <w:p w14:paraId="74DB98E3" w14:textId="6849112C" w:rsidR="007B2DD3" w:rsidRPr="006874A4" w:rsidRDefault="007B2DD3" w:rsidP="007B2DD3">
      <w:pPr>
        <w:spacing w:after="160"/>
        <w:jc w:val="both"/>
        <w:rPr>
          <w:rFonts w:ascii="Open Sans" w:hAnsi="Open Sans" w:cs="Open Sans"/>
          <w:sz w:val="22"/>
          <w:szCs w:val="22"/>
        </w:rPr>
      </w:pPr>
      <w:r w:rsidRPr="006874A4">
        <w:rPr>
          <w:rFonts w:ascii="Open Sans" w:hAnsi="Open Sans" w:cs="Open Sans"/>
          <w:sz w:val="22"/>
          <w:szCs w:val="22"/>
        </w:rPr>
        <w:t>The Asian Development Bank (ADB) says that Asia's elderly population is projected to reach some 850 million by 2050 and that consequently, in the next few decades</w:t>
      </w:r>
      <w:r w:rsidR="007D1920" w:rsidRPr="006874A4">
        <w:rPr>
          <w:rFonts w:ascii="Open Sans" w:hAnsi="Open Sans" w:cs="Open Sans"/>
          <w:sz w:val="22"/>
          <w:szCs w:val="22"/>
        </w:rPr>
        <w:t>, the region</w:t>
      </w:r>
      <w:r w:rsidRPr="006874A4">
        <w:rPr>
          <w:rFonts w:ascii="Open Sans" w:hAnsi="Open Sans" w:cs="Open Sans"/>
          <w:sz w:val="22"/>
          <w:szCs w:val="22"/>
        </w:rPr>
        <w:t xml:space="preserve"> will become one of the oldest in the world.</w:t>
      </w:r>
      <w:r w:rsidRPr="006874A4">
        <w:rPr>
          <w:rStyle w:val="EndnoteReference"/>
          <w:rFonts w:ascii="Open Sans" w:hAnsi="Open Sans" w:cs="Open Sans"/>
          <w:sz w:val="22"/>
          <w:szCs w:val="22"/>
        </w:rPr>
        <w:endnoteReference w:id="3"/>
      </w:r>
      <w:r w:rsidRPr="006874A4">
        <w:rPr>
          <w:sz w:val="22"/>
          <w:szCs w:val="22"/>
        </w:rPr>
        <w:t xml:space="preserve"> </w:t>
      </w:r>
      <w:r w:rsidRPr="006874A4">
        <w:rPr>
          <w:rFonts w:ascii="Open Sans" w:hAnsi="Open Sans" w:cs="Open Sans"/>
          <w:sz w:val="22"/>
          <w:szCs w:val="22"/>
        </w:rPr>
        <w:t xml:space="preserve">While Japan </w:t>
      </w:r>
      <w:r w:rsidR="007D1920" w:rsidRPr="006874A4">
        <w:rPr>
          <w:rFonts w:ascii="Open Sans" w:hAnsi="Open Sans" w:cs="Open Sans"/>
          <w:sz w:val="22"/>
          <w:szCs w:val="22"/>
        </w:rPr>
        <w:t>has the largest population of people 65 years old and over in the region</w:t>
      </w:r>
      <w:r w:rsidRPr="006874A4">
        <w:rPr>
          <w:rFonts w:ascii="Open Sans" w:hAnsi="Open Sans" w:cs="Open Sans"/>
          <w:sz w:val="22"/>
          <w:szCs w:val="22"/>
        </w:rPr>
        <w:t xml:space="preserve">, </w:t>
      </w:r>
      <w:r w:rsidR="007D1920" w:rsidRPr="006874A4">
        <w:rPr>
          <w:rFonts w:ascii="Open Sans" w:hAnsi="Open Sans" w:cs="Open Sans"/>
          <w:sz w:val="22"/>
          <w:szCs w:val="22"/>
        </w:rPr>
        <w:t xml:space="preserve">markets rapidly growing in this segment include the Republics of </w:t>
      </w:r>
      <w:r w:rsidRPr="006874A4">
        <w:rPr>
          <w:rFonts w:ascii="Open Sans" w:hAnsi="Open Sans" w:cs="Open Sans"/>
          <w:sz w:val="22"/>
          <w:szCs w:val="22"/>
        </w:rPr>
        <w:t>Korea</w:t>
      </w:r>
      <w:r w:rsidR="00C46EF8" w:rsidRPr="006874A4">
        <w:rPr>
          <w:rFonts w:ascii="Open Sans" w:hAnsi="Open Sans" w:cs="Open Sans"/>
          <w:sz w:val="22"/>
          <w:szCs w:val="22"/>
        </w:rPr>
        <w:t xml:space="preserve">, </w:t>
      </w:r>
      <w:r w:rsidRPr="006874A4">
        <w:rPr>
          <w:rFonts w:ascii="Open Sans" w:hAnsi="Open Sans" w:cs="Open Sans"/>
          <w:sz w:val="22"/>
          <w:szCs w:val="22"/>
        </w:rPr>
        <w:t>Singapore, Thailand</w:t>
      </w:r>
      <w:r w:rsidR="007D1920" w:rsidRPr="006874A4">
        <w:rPr>
          <w:rFonts w:ascii="Open Sans" w:hAnsi="Open Sans" w:cs="Open Sans"/>
          <w:sz w:val="22"/>
          <w:szCs w:val="22"/>
        </w:rPr>
        <w:t>,</w:t>
      </w:r>
      <w:r w:rsidRPr="006874A4">
        <w:rPr>
          <w:rFonts w:ascii="Open Sans" w:hAnsi="Open Sans" w:cs="Open Sans"/>
          <w:sz w:val="22"/>
          <w:szCs w:val="22"/>
        </w:rPr>
        <w:t xml:space="preserve"> and the People’s Republic of China (PRC). Visitors to Vitafoods Asia can learn from expert speakers at the Life Stages Theatre how nutraceuticals are being </w:t>
      </w:r>
      <w:r w:rsidR="007D1920" w:rsidRPr="006874A4">
        <w:rPr>
          <w:rFonts w:ascii="Open Sans" w:hAnsi="Open Sans" w:cs="Open Sans"/>
          <w:sz w:val="22"/>
          <w:szCs w:val="22"/>
        </w:rPr>
        <w:t xml:space="preserve">applied </w:t>
      </w:r>
      <w:r w:rsidRPr="006874A4">
        <w:rPr>
          <w:rFonts w:ascii="Open Sans" w:hAnsi="Open Sans" w:cs="Open Sans"/>
          <w:sz w:val="22"/>
          <w:szCs w:val="22"/>
        </w:rPr>
        <w:t>for healthy aging, and discover products from exhibitors such as Oryza Oil &amp; Fat Chemical Co Ltd and Kappa Bioscience (</w:t>
      </w:r>
      <w:hyperlink r:id="rId8" w:history="1">
        <w:r w:rsidRPr="006874A4">
          <w:rPr>
            <w:rStyle w:val="Hyperlink"/>
            <w:rFonts w:ascii="Open Sans" w:hAnsi="Open Sans" w:cs="Open Sans"/>
            <w:sz w:val="22"/>
            <w:szCs w:val="22"/>
          </w:rPr>
          <w:t>video</w:t>
        </w:r>
      </w:hyperlink>
      <w:r w:rsidRPr="006874A4">
        <w:rPr>
          <w:rFonts w:ascii="Open Sans" w:hAnsi="Open Sans" w:cs="Open Sans"/>
          <w:sz w:val="22"/>
          <w:szCs w:val="22"/>
        </w:rPr>
        <w:t>), among others.</w:t>
      </w:r>
    </w:p>
    <w:p w14:paraId="7CF3ECCE" w14:textId="77777777" w:rsidR="007B2DD3" w:rsidRPr="006874A4" w:rsidRDefault="007B2DD3" w:rsidP="007B2DD3">
      <w:pPr>
        <w:spacing w:after="0"/>
        <w:jc w:val="both"/>
        <w:rPr>
          <w:rFonts w:ascii="Open Sans" w:hAnsi="Open Sans" w:cs="Open Sans"/>
          <w:b/>
          <w:sz w:val="22"/>
          <w:szCs w:val="22"/>
        </w:rPr>
      </w:pPr>
    </w:p>
    <w:p w14:paraId="411D5FC8" w14:textId="34D57B9C" w:rsidR="007B2DD3" w:rsidRPr="006874A4" w:rsidRDefault="007B2DD3" w:rsidP="007B2DD3">
      <w:pPr>
        <w:spacing w:after="0"/>
        <w:jc w:val="both"/>
        <w:rPr>
          <w:rFonts w:ascii="Open Sans" w:hAnsi="Open Sans" w:cs="Open Sans"/>
          <w:b/>
          <w:sz w:val="22"/>
          <w:szCs w:val="22"/>
        </w:rPr>
      </w:pPr>
      <w:r w:rsidRPr="006874A4">
        <w:rPr>
          <w:rFonts w:ascii="Open Sans" w:hAnsi="Open Sans" w:cs="Open Sans"/>
          <w:b/>
          <w:sz w:val="22"/>
          <w:szCs w:val="22"/>
        </w:rPr>
        <w:t xml:space="preserve">7. FODMAPs </w:t>
      </w:r>
    </w:p>
    <w:p w14:paraId="1EF0434A" w14:textId="77777777" w:rsidR="007B2DD3" w:rsidRPr="006874A4" w:rsidRDefault="007B2DD3" w:rsidP="007B2DD3">
      <w:pPr>
        <w:spacing w:after="0"/>
        <w:jc w:val="both"/>
        <w:rPr>
          <w:rFonts w:ascii="Open Sans" w:hAnsi="Open Sans" w:cs="Open Sans"/>
          <w:sz w:val="22"/>
          <w:szCs w:val="22"/>
        </w:rPr>
      </w:pPr>
    </w:p>
    <w:p w14:paraId="02523A3D" w14:textId="745E82D0" w:rsidR="007B2DD3" w:rsidRPr="006874A4" w:rsidRDefault="007D1920" w:rsidP="00CB129F">
      <w:pPr>
        <w:spacing w:after="0"/>
        <w:jc w:val="both"/>
        <w:rPr>
          <w:rFonts w:ascii="Open Sans" w:hAnsi="Open Sans" w:cs="Open Sans"/>
          <w:sz w:val="22"/>
          <w:szCs w:val="22"/>
        </w:rPr>
      </w:pPr>
      <w:r w:rsidRPr="006874A4">
        <w:rPr>
          <w:rFonts w:ascii="Open Sans" w:hAnsi="Open Sans" w:cs="Open Sans"/>
          <w:sz w:val="22"/>
          <w:szCs w:val="22"/>
        </w:rPr>
        <w:t xml:space="preserve">An emerging trend in the food industry is for </w:t>
      </w:r>
      <w:r w:rsidR="007B2DD3" w:rsidRPr="006874A4">
        <w:rPr>
          <w:rFonts w:ascii="Open Sans" w:hAnsi="Open Sans" w:cs="Open Sans"/>
          <w:sz w:val="22"/>
          <w:szCs w:val="22"/>
        </w:rPr>
        <w:t>Low-FODMAP accredited products</w:t>
      </w:r>
      <w:r w:rsidR="00CB129F" w:rsidRPr="006874A4">
        <w:rPr>
          <w:rFonts w:ascii="Open Sans" w:hAnsi="Open Sans" w:cs="Open Sans"/>
          <w:sz w:val="22"/>
          <w:szCs w:val="22"/>
        </w:rPr>
        <w:t>. FODMAP classify groups of carbs that are notorious for triggering digestive symptoms like bloating, gas and stomach pain</w:t>
      </w:r>
      <w:r w:rsidR="007B2DD3" w:rsidRPr="006874A4">
        <w:rPr>
          <w:rFonts w:ascii="Open Sans" w:hAnsi="Open Sans" w:cs="Open Sans"/>
          <w:sz w:val="22"/>
          <w:szCs w:val="22"/>
        </w:rPr>
        <w:t xml:space="preserve">. </w:t>
      </w:r>
      <w:r w:rsidR="00CB129F" w:rsidRPr="006874A4">
        <w:rPr>
          <w:rFonts w:ascii="Open Sans" w:hAnsi="Open Sans" w:cs="Open Sans"/>
          <w:sz w:val="22"/>
          <w:szCs w:val="22"/>
        </w:rPr>
        <w:t>B</w:t>
      </w:r>
      <w:r w:rsidR="007B2DD3" w:rsidRPr="006874A4">
        <w:rPr>
          <w:rFonts w:ascii="Open Sans" w:hAnsi="Open Sans" w:cs="Open Sans"/>
          <w:sz w:val="22"/>
          <w:szCs w:val="22"/>
        </w:rPr>
        <w:t xml:space="preserve">acked by </w:t>
      </w:r>
      <w:r w:rsidR="00CB129F" w:rsidRPr="006874A4">
        <w:rPr>
          <w:rFonts w:ascii="Open Sans" w:hAnsi="Open Sans" w:cs="Open Sans"/>
          <w:sz w:val="22"/>
          <w:szCs w:val="22"/>
        </w:rPr>
        <w:t>scientific evidence, the FODMAP</w:t>
      </w:r>
      <w:r w:rsidR="007B2DD3" w:rsidRPr="006874A4">
        <w:rPr>
          <w:rFonts w:ascii="Open Sans" w:hAnsi="Open Sans" w:cs="Open Sans"/>
          <w:sz w:val="22"/>
          <w:szCs w:val="22"/>
        </w:rPr>
        <w:t xml:space="preserve"> </w:t>
      </w:r>
      <w:r w:rsidR="00CB129F" w:rsidRPr="006874A4">
        <w:rPr>
          <w:rFonts w:ascii="Open Sans" w:hAnsi="Open Sans" w:cs="Open Sans"/>
          <w:sz w:val="22"/>
          <w:szCs w:val="22"/>
        </w:rPr>
        <w:t xml:space="preserve">diet is </w:t>
      </w:r>
      <w:r w:rsidR="007B2DD3" w:rsidRPr="006874A4">
        <w:rPr>
          <w:rFonts w:ascii="Open Sans" w:hAnsi="Open Sans" w:cs="Open Sans"/>
          <w:sz w:val="22"/>
          <w:szCs w:val="22"/>
        </w:rPr>
        <w:t xml:space="preserve">accepted by dietitians and gastroenterologists; and is </w:t>
      </w:r>
      <w:r w:rsidR="00CB129F" w:rsidRPr="006874A4">
        <w:rPr>
          <w:rFonts w:ascii="Open Sans" w:hAnsi="Open Sans" w:cs="Open Sans"/>
          <w:sz w:val="22"/>
          <w:szCs w:val="22"/>
        </w:rPr>
        <w:t xml:space="preserve">attracting </w:t>
      </w:r>
      <w:r w:rsidR="007B2DD3" w:rsidRPr="006874A4">
        <w:rPr>
          <w:rFonts w:ascii="Open Sans" w:hAnsi="Open Sans" w:cs="Open Sans"/>
          <w:sz w:val="22"/>
          <w:szCs w:val="22"/>
        </w:rPr>
        <w:t>growing media and consumer attention as a key attribute is that it is easy to feel the benefit</w:t>
      </w:r>
      <w:r w:rsidR="00CB129F" w:rsidRPr="006874A4">
        <w:rPr>
          <w:rFonts w:ascii="Open Sans" w:hAnsi="Open Sans" w:cs="Open Sans"/>
          <w:sz w:val="22"/>
          <w:szCs w:val="22"/>
        </w:rPr>
        <w:t xml:space="preserve"> of the diet</w:t>
      </w:r>
      <w:r w:rsidR="007B2DD3" w:rsidRPr="006874A4">
        <w:rPr>
          <w:rFonts w:ascii="Open Sans" w:hAnsi="Open Sans" w:cs="Open Sans"/>
          <w:sz w:val="22"/>
          <w:szCs w:val="22"/>
        </w:rPr>
        <w:t xml:space="preserve">. </w:t>
      </w:r>
      <w:r w:rsidR="00CB129F" w:rsidRPr="006874A4">
        <w:rPr>
          <w:rFonts w:ascii="Open Sans" w:hAnsi="Open Sans" w:cs="Open Sans"/>
          <w:sz w:val="22"/>
          <w:szCs w:val="22"/>
        </w:rPr>
        <w:t>In response, l</w:t>
      </w:r>
      <w:r w:rsidR="007B2DD3" w:rsidRPr="006874A4">
        <w:rPr>
          <w:rFonts w:ascii="Open Sans" w:hAnsi="Open Sans" w:cs="Open Sans"/>
          <w:sz w:val="22"/>
          <w:szCs w:val="22"/>
        </w:rPr>
        <w:t>arge food companies</w:t>
      </w:r>
      <w:r w:rsidR="005851C8" w:rsidRPr="006874A4">
        <w:rPr>
          <w:rFonts w:ascii="Open Sans" w:hAnsi="Open Sans" w:cs="Open Sans"/>
          <w:sz w:val="22"/>
          <w:szCs w:val="22"/>
        </w:rPr>
        <w:t xml:space="preserve"> such as Nestle and </w:t>
      </w:r>
      <w:proofErr w:type="spellStart"/>
      <w:r w:rsidR="005851C8" w:rsidRPr="006874A4">
        <w:rPr>
          <w:rFonts w:ascii="Open Sans" w:hAnsi="Open Sans" w:cs="Open Sans"/>
          <w:sz w:val="22"/>
          <w:szCs w:val="22"/>
        </w:rPr>
        <w:t>Kelloggs</w:t>
      </w:r>
      <w:proofErr w:type="spellEnd"/>
      <w:r w:rsidR="007B2DD3" w:rsidRPr="006874A4">
        <w:rPr>
          <w:rFonts w:ascii="Open Sans" w:hAnsi="Open Sans" w:cs="Open Sans"/>
          <w:sz w:val="22"/>
          <w:szCs w:val="22"/>
        </w:rPr>
        <w:t xml:space="preserve"> are producing FODMAP-friendly products or re-labelling existing products as FODMAP-friendly.</w:t>
      </w:r>
      <w:r w:rsidR="00CB129F" w:rsidRPr="006874A4">
        <w:rPr>
          <w:rFonts w:ascii="Open Sans" w:hAnsi="Open Sans" w:cs="Open Sans"/>
          <w:sz w:val="22"/>
          <w:szCs w:val="22"/>
        </w:rPr>
        <w:t xml:space="preserve"> Discover FODMAP-friendly product manufacturers such as </w:t>
      </w:r>
      <w:proofErr w:type="spellStart"/>
      <w:r w:rsidR="007B2DD3" w:rsidRPr="006874A4">
        <w:rPr>
          <w:rFonts w:ascii="Open Sans" w:hAnsi="Open Sans" w:cs="Open Sans"/>
          <w:sz w:val="22"/>
          <w:szCs w:val="22"/>
        </w:rPr>
        <w:t>Giellepi</w:t>
      </w:r>
      <w:proofErr w:type="spellEnd"/>
      <w:r w:rsidR="007B2DD3" w:rsidRPr="006874A4">
        <w:rPr>
          <w:rFonts w:ascii="Open Sans" w:hAnsi="Open Sans" w:cs="Open Sans"/>
          <w:sz w:val="22"/>
          <w:szCs w:val="22"/>
        </w:rPr>
        <w:t xml:space="preserve"> </w:t>
      </w:r>
      <w:proofErr w:type="spellStart"/>
      <w:r w:rsidR="007B2DD3" w:rsidRPr="006874A4">
        <w:rPr>
          <w:rFonts w:ascii="Open Sans" w:hAnsi="Open Sans" w:cs="Open Sans"/>
          <w:sz w:val="22"/>
          <w:szCs w:val="22"/>
        </w:rPr>
        <w:t>SpA</w:t>
      </w:r>
      <w:proofErr w:type="spellEnd"/>
      <w:r w:rsidR="007B2DD3" w:rsidRPr="006874A4">
        <w:rPr>
          <w:rFonts w:ascii="Open Sans" w:hAnsi="Open Sans" w:cs="Open Sans"/>
          <w:sz w:val="22"/>
          <w:szCs w:val="22"/>
        </w:rPr>
        <w:t xml:space="preserve">, Nexus Wise and </w:t>
      </w:r>
      <w:proofErr w:type="spellStart"/>
      <w:r w:rsidR="007B2DD3" w:rsidRPr="006874A4">
        <w:rPr>
          <w:rFonts w:ascii="Open Sans" w:hAnsi="Open Sans" w:cs="Open Sans"/>
          <w:sz w:val="22"/>
          <w:szCs w:val="22"/>
        </w:rPr>
        <w:t>Primex</w:t>
      </w:r>
      <w:proofErr w:type="spellEnd"/>
      <w:r w:rsidR="00CB129F" w:rsidRPr="006874A4">
        <w:rPr>
          <w:rFonts w:ascii="Open Sans" w:hAnsi="Open Sans" w:cs="Open Sans"/>
          <w:sz w:val="22"/>
          <w:szCs w:val="22"/>
        </w:rPr>
        <w:t xml:space="preserve"> at Vitafoods Asia 2019</w:t>
      </w:r>
      <w:r w:rsidR="007B2DD3" w:rsidRPr="006874A4">
        <w:rPr>
          <w:rFonts w:ascii="Open Sans" w:hAnsi="Open Sans" w:cs="Open Sans"/>
          <w:sz w:val="22"/>
          <w:szCs w:val="22"/>
        </w:rPr>
        <w:t>.</w:t>
      </w:r>
    </w:p>
    <w:p w14:paraId="2AB782AC" w14:textId="77777777" w:rsidR="00CB129F" w:rsidRPr="006874A4" w:rsidRDefault="00CB129F" w:rsidP="00CB129F">
      <w:pPr>
        <w:spacing w:after="0"/>
        <w:jc w:val="both"/>
        <w:rPr>
          <w:rFonts w:ascii="Open Sans" w:hAnsi="Open Sans" w:cs="Open Sans"/>
          <w:sz w:val="22"/>
          <w:szCs w:val="22"/>
        </w:rPr>
      </w:pPr>
    </w:p>
    <w:p w14:paraId="7DE6FDCF" w14:textId="77777777" w:rsidR="007B2DD3" w:rsidRPr="006874A4" w:rsidRDefault="007B2DD3" w:rsidP="007B2DD3">
      <w:pPr>
        <w:spacing w:after="0"/>
        <w:jc w:val="both"/>
        <w:rPr>
          <w:rFonts w:ascii="Open Sans" w:hAnsi="Open Sans" w:cs="Open Sans"/>
          <w:b/>
          <w:sz w:val="22"/>
          <w:szCs w:val="22"/>
        </w:rPr>
      </w:pPr>
      <w:r w:rsidRPr="006874A4">
        <w:rPr>
          <w:rFonts w:ascii="Open Sans" w:hAnsi="Open Sans" w:cs="Open Sans"/>
          <w:b/>
          <w:sz w:val="22"/>
          <w:szCs w:val="22"/>
        </w:rPr>
        <w:lastRenderedPageBreak/>
        <w:t xml:space="preserve">8. Functional beverages </w:t>
      </w:r>
    </w:p>
    <w:p w14:paraId="21A3DCB8" w14:textId="77777777" w:rsidR="007B2DD3" w:rsidRPr="006874A4" w:rsidRDefault="007B2DD3" w:rsidP="007B2DD3">
      <w:pPr>
        <w:spacing w:after="0"/>
        <w:jc w:val="both"/>
        <w:rPr>
          <w:rFonts w:ascii="Open Sans" w:hAnsi="Open Sans" w:cs="Open Sans"/>
          <w:sz w:val="22"/>
          <w:szCs w:val="22"/>
        </w:rPr>
      </w:pPr>
    </w:p>
    <w:p w14:paraId="265755B0" w14:textId="0B5A7200" w:rsidR="007B2DD3" w:rsidRPr="006874A4" w:rsidRDefault="007B2DD3" w:rsidP="007B2DD3">
      <w:pPr>
        <w:spacing w:after="0"/>
        <w:jc w:val="both"/>
        <w:rPr>
          <w:rStyle w:val="CommentReference"/>
          <w:sz w:val="22"/>
          <w:szCs w:val="22"/>
        </w:rPr>
      </w:pPr>
      <w:r w:rsidRPr="006874A4">
        <w:rPr>
          <w:rFonts w:ascii="Open Sans" w:hAnsi="Open Sans" w:cs="Open Sans"/>
          <w:sz w:val="22"/>
          <w:szCs w:val="22"/>
        </w:rPr>
        <w:t xml:space="preserve">The fastest growing segment in nutraceuticals is Functional Beverages, </w:t>
      </w:r>
      <w:r w:rsidR="00CB129F" w:rsidRPr="006874A4">
        <w:rPr>
          <w:rFonts w:ascii="Open Sans" w:hAnsi="Open Sans" w:cs="Open Sans"/>
          <w:sz w:val="22"/>
          <w:szCs w:val="22"/>
        </w:rPr>
        <w:t>a trend that has been helped</w:t>
      </w:r>
      <w:r w:rsidRPr="006874A4">
        <w:rPr>
          <w:rFonts w:ascii="Open Sans" w:hAnsi="Open Sans" w:cs="Open Sans"/>
          <w:sz w:val="22"/>
          <w:szCs w:val="22"/>
        </w:rPr>
        <w:t xml:space="preserve"> by the increasing popularity of immunity drinks such as the probiotic Kombucha. Energy drinks is still the largest revenue segment </w:t>
      </w:r>
      <w:r w:rsidR="00A276E7" w:rsidRPr="006874A4">
        <w:rPr>
          <w:rFonts w:ascii="Open Sans" w:hAnsi="Open Sans" w:cs="Open Sans"/>
          <w:sz w:val="22"/>
          <w:szCs w:val="22"/>
        </w:rPr>
        <w:t xml:space="preserve">of functional beverages, </w:t>
      </w:r>
      <w:r w:rsidRPr="006874A4">
        <w:rPr>
          <w:rFonts w:ascii="Open Sans" w:hAnsi="Open Sans" w:cs="Open Sans"/>
          <w:sz w:val="22"/>
          <w:szCs w:val="22"/>
        </w:rPr>
        <w:t>and RTD tea, coffee and enhanced water are the fastest growing sub-segments.</w:t>
      </w:r>
    </w:p>
    <w:p w14:paraId="248FDD79" w14:textId="00419E60" w:rsidR="007C6518" w:rsidRPr="006874A4" w:rsidRDefault="007B2DD3" w:rsidP="007B2DD3">
      <w:pPr>
        <w:spacing w:after="0"/>
        <w:jc w:val="both"/>
        <w:rPr>
          <w:rFonts w:ascii="Open Sans" w:hAnsi="Open Sans" w:cs="Open Sans"/>
          <w:sz w:val="22"/>
          <w:szCs w:val="22"/>
        </w:rPr>
      </w:pPr>
      <w:r w:rsidRPr="006874A4">
        <w:rPr>
          <w:rFonts w:ascii="Open Sans" w:hAnsi="Open Sans" w:cs="Open Sans"/>
          <w:sz w:val="22"/>
          <w:szCs w:val="22"/>
        </w:rPr>
        <w:t xml:space="preserve"> </w:t>
      </w:r>
    </w:p>
    <w:p w14:paraId="06803483" w14:textId="3E303B0E" w:rsidR="007B2DD3" w:rsidRPr="006874A4" w:rsidRDefault="007B2DD3" w:rsidP="007B2DD3">
      <w:pPr>
        <w:spacing w:after="0"/>
        <w:jc w:val="both"/>
        <w:rPr>
          <w:rFonts w:ascii="Open Sans" w:hAnsi="Open Sans" w:cs="Open Sans"/>
          <w:b/>
          <w:sz w:val="22"/>
          <w:szCs w:val="22"/>
        </w:rPr>
      </w:pPr>
      <w:r w:rsidRPr="006874A4">
        <w:rPr>
          <w:rFonts w:ascii="Open Sans" w:hAnsi="Open Sans" w:cs="Open Sans"/>
          <w:b/>
          <w:sz w:val="22"/>
          <w:szCs w:val="22"/>
        </w:rPr>
        <w:t>Register for Vitafoods Asia</w:t>
      </w:r>
    </w:p>
    <w:p w14:paraId="5B566898" w14:textId="77777777" w:rsidR="007C6518" w:rsidRPr="006874A4" w:rsidRDefault="007C6518" w:rsidP="007B2DD3">
      <w:pPr>
        <w:spacing w:after="0"/>
        <w:jc w:val="both"/>
        <w:rPr>
          <w:rFonts w:ascii="Open Sans" w:hAnsi="Open Sans" w:cs="Open Sans"/>
          <w:b/>
          <w:sz w:val="22"/>
          <w:szCs w:val="22"/>
        </w:rPr>
      </w:pPr>
    </w:p>
    <w:p w14:paraId="4772D5A6" w14:textId="1E9259DF" w:rsidR="007B2DD3" w:rsidRPr="006874A4" w:rsidRDefault="007B2DD3" w:rsidP="007B2DD3">
      <w:pPr>
        <w:spacing w:after="0"/>
        <w:jc w:val="both"/>
        <w:rPr>
          <w:rFonts w:ascii="Open Sans" w:hAnsi="Open Sans" w:cs="Open Sans"/>
          <w:sz w:val="22"/>
          <w:szCs w:val="22"/>
        </w:rPr>
      </w:pPr>
      <w:r w:rsidRPr="006874A4">
        <w:rPr>
          <w:rFonts w:ascii="Open Sans" w:hAnsi="Open Sans" w:cs="Open Sans"/>
          <w:sz w:val="22"/>
          <w:szCs w:val="22"/>
        </w:rPr>
        <w:t xml:space="preserve">Vitafoods Asia 2019 is the </w:t>
      </w:r>
      <w:bookmarkStart w:id="1" w:name="_Hlk8139921"/>
      <w:r w:rsidRPr="006874A4">
        <w:rPr>
          <w:rFonts w:ascii="Open Sans" w:hAnsi="Open Sans" w:cs="Open Sans"/>
          <w:sz w:val="22"/>
          <w:szCs w:val="22"/>
        </w:rPr>
        <w:t>event that helps shape the food industry for optimal health through science and innovation. It returns to Singapore between 25-26 September 2019.</w:t>
      </w:r>
      <w:bookmarkEnd w:id="1"/>
      <w:r w:rsidR="00C46EF8" w:rsidRPr="006874A4">
        <w:rPr>
          <w:rFonts w:ascii="Open Sans" w:hAnsi="Open Sans" w:cs="Open Sans"/>
          <w:sz w:val="22"/>
          <w:szCs w:val="22"/>
        </w:rPr>
        <w:t xml:space="preserve"> </w:t>
      </w:r>
      <w:r w:rsidR="00C46EF8" w:rsidRPr="006874A4">
        <w:rPr>
          <w:rFonts w:ascii="Open Sans" w:hAnsi="Open Sans" w:cs="Open Sans"/>
          <w:sz w:val="22"/>
          <w:szCs w:val="22"/>
        </w:rPr>
        <w:t xml:space="preserve">Registration for Vitafoods Asia 2019 is now open, please visit </w:t>
      </w:r>
      <w:hyperlink r:id="rId9" w:history="1">
        <w:r w:rsidR="00C46EF8" w:rsidRPr="006874A4">
          <w:rPr>
            <w:rStyle w:val="Hyperlink"/>
            <w:rFonts w:ascii="Open Sans" w:hAnsi="Open Sans" w:cs="Open Sans"/>
            <w:sz w:val="22"/>
            <w:szCs w:val="22"/>
          </w:rPr>
          <w:t>www.vitafoodsasia.com</w:t>
        </w:r>
      </w:hyperlink>
      <w:r w:rsidR="00C46EF8" w:rsidRPr="006874A4">
        <w:rPr>
          <w:rFonts w:ascii="Open Sans" w:hAnsi="Open Sans" w:cs="Open Sans"/>
          <w:sz w:val="22"/>
          <w:szCs w:val="22"/>
        </w:rPr>
        <w:t>.</w:t>
      </w:r>
    </w:p>
    <w:p w14:paraId="1B7B26FC" w14:textId="77777777" w:rsidR="007B2DD3" w:rsidRPr="006874A4" w:rsidRDefault="007B2DD3" w:rsidP="007B2DD3">
      <w:pPr>
        <w:spacing w:after="0"/>
        <w:jc w:val="both"/>
        <w:rPr>
          <w:rFonts w:ascii="Open Sans" w:hAnsi="Open Sans" w:cs="Open Sans"/>
          <w:sz w:val="22"/>
          <w:szCs w:val="22"/>
        </w:rPr>
      </w:pPr>
      <w:bookmarkStart w:id="2" w:name="_GoBack"/>
      <w:bookmarkEnd w:id="2"/>
    </w:p>
    <w:p w14:paraId="5E9357AE" w14:textId="25E3694A" w:rsidR="007B2DD3" w:rsidRPr="006874A4" w:rsidRDefault="007B2DD3" w:rsidP="00C46EF8">
      <w:pPr>
        <w:spacing w:after="0"/>
        <w:jc w:val="center"/>
        <w:rPr>
          <w:rFonts w:ascii="Open Sans" w:hAnsi="Open Sans" w:cs="Open Sans"/>
          <w:sz w:val="22"/>
          <w:szCs w:val="22"/>
        </w:rPr>
      </w:pPr>
      <w:r w:rsidRPr="006874A4">
        <w:rPr>
          <w:rFonts w:ascii="Open Sans" w:hAnsi="Open Sans" w:cs="Open Sans"/>
          <w:sz w:val="22"/>
          <w:szCs w:val="22"/>
        </w:rPr>
        <w:t>- END -</w:t>
      </w:r>
    </w:p>
    <w:p w14:paraId="75753BE6" w14:textId="77777777" w:rsidR="007B2DD3" w:rsidRPr="006874A4" w:rsidRDefault="007B2DD3" w:rsidP="007B2DD3">
      <w:pPr>
        <w:spacing w:after="0"/>
        <w:jc w:val="both"/>
        <w:rPr>
          <w:rFonts w:ascii="Open Sans" w:hAnsi="Open Sans" w:cs="Open Sans"/>
          <w:sz w:val="22"/>
          <w:szCs w:val="22"/>
        </w:rPr>
      </w:pPr>
    </w:p>
    <w:p w14:paraId="0FEB5FE4" w14:textId="77777777" w:rsidR="007B2DD3" w:rsidRPr="006874A4" w:rsidRDefault="007B2DD3" w:rsidP="007B2DD3">
      <w:pPr>
        <w:pStyle w:val="NormalWeb"/>
        <w:shd w:val="clear" w:color="auto" w:fill="FFFFFF"/>
        <w:spacing w:before="0" w:beforeAutospacing="0" w:after="150" w:afterAutospacing="0" w:line="240" w:lineRule="atLeast"/>
        <w:rPr>
          <w:rFonts w:ascii="Open Sans" w:hAnsi="Open Sans" w:cs="Open Sans"/>
          <w:sz w:val="22"/>
          <w:szCs w:val="22"/>
        </w:rPr>
      </w:pPr>
      <w:r w:rsidRPr="006874A4">
        <w:rPr>
          <w:rFonts w:ascii="Open Sans" w:hAnsi="Open Sans" w:cs="Open Sans"/>
          <w:b/>
          <w:bCs/>
          <w:sz w:val="22"/>
          <w:szCs w:val="22"/>
        </w:rPr>
        <w:t>About Vitafoods Asia</w:t>
      </w:r>
    </w:p>
    <w:p w14:paraId="53CA595C" w14:textId="4B7794CF" w:rsidR="007B2DD3" w:rsidRPr="006874A4" w:rsidRDefault="00C554F7" w:rsidP="007B2DD3">
      <w:pPr>
        <w:pStyle w:val="NormalWeb"/>
        <w:shd w:val="clear" w:color="auto" w:fill="FFFFFF"/>
        <w:spacing w:before="0" w:beforeAutospacing="0" w:after="150" w:afterAutospacing="0" w:line="240" w:lineRule="atLeast"/>
        <w:rPr>
          <w:rFonts w:ascii="Open Sans" w:hAnsi="Open Sans" w:cs="Open Sans"/>
          <w:sz w:val="22"/>
          <w:szCs w:val="22"/>
        </w:rPr>
      </w:pPr>
      <w:hyperlink r:id="rId10" w:history="1">
        <w:r w:rsidR="007B2DD3" w:rsidRPr="006874A4">
          <w:rPr>
            <w:rStyle w:val="Hyperlink"/>
            <w:rFonts w:ascii="Open Sans" w:hAnsi="Open Sans" w:cs="Open Sans"/>
            <w:sz w:val="22"/>
            <w:szCs w:val="22"/>
          </w:rPr>
          <w:t>Vitafoods Asia</w:t>
        </w:r>
      </w:hyperlink>
      <w:r w:rsidR="007B2DD3" w:rsidRPr="006874A4">
        <w:rPr>
          <w:rFonts w:ascii="Open Sans" w:hAnsi="Open Sans" w:cs="Open Sans"/>
          <w:sz w:val="22"/>
          <w:szCs w:val="22"/>
        </w:rPr>
        <w:t xml:space="preserve"> is part of Informa Health &amp; Nutrition</w:t>
      </w:r>
      <w:r w:rsidR="00344610" w:rsidRPr="006874A4">
        <w:rPr>
          <w:rFonts w:ascii="Open Sans" w:hAnsi="Open Sans" w:cs="Open Sans"/>
          <w:sz w:val="22"/>
          <w:szCs w:val="22"/>
        </w:rPr>
        <w:t xml:space="preserve"> by Informa Markets</w:t>
      </w:r>
      <w:r w:rsidR="007B2DD3" w:rsidRPr="006874A4">
        <w:rPr>
          <w:rFonts w:ascii="Open Sans" w:hAnsi="Open Sans" w:cs="Open Sans"/>
          <w:sz w:val="22"/>
          <w:szCs w:val="22"/>
        </w:rPr>
        <w:t xml:space="preserve">, </w:t>
      </w:r>
      <w:r w:rsidR="00344610" w:rsidRPr="006874A4">
        <w:rPr>
          <w:rFonts w:ascii="Open Sans" w:hAnsi="Open Sans" w:cs="Open Sans"/>
          <w:sz w:val="22"/>
          <w:szCs w:val="22"/>
        </w:rPr>
        <w:t xml:space="preserve">is made up of the top events, education, data and content brands across the global health and wellness industry. This powerful alliance serves a world-wide network of CPG brands, manufacturers, suppliers, retailers, distributors, investors and service providers. </w:t>
      </w:r>
      <w:r w:rsidR="00545BD7" w:rsidRPr="006874A4">
        <w:rPr>
          <w:rFonts w:ascii="Open Sans" w:hAnsi="Open Sans" w:cs="Open Sans"/>
          <w:sz w:val="22"/>
          <w:szCs w:val="22"/>
        </w:rPr>
        <w:t xml:space="preserve">Informa Health &amp; Nutrition </w:t>
      </w:r>
      <w:r w:rsidR="007B2DD3" w:rsidRPr="006874A4">
        <w:rPr>
          <w:rFonts w:ascii="Open Sans" w:hAnsi="Open Sans" w:cs="Open Sans"/>
          <w:sz w:val="22"/>
          <w:szCs w:val="22"/>
        </w:rPr>
        <w:t xml:space="preserve">events include </w:t>
      </w:r>
      <w:r w:rsidR="00344610" w:rsidRPr="006874A4">
        <w:rPr>
          <w:rFonts w:ascii="Open Sans" w:hAnsi="Open Sans" w:cs="Open Sans"/>
          <w:sz w:val="22"/>
          <w:szCs w:val="22"/>
        </w:rPr>
        <w:t xml:space="preserve">Esca Bona, Natural Products Expo East and Natural Products Expo West, NBJ Summit, SupplySide West and SupplySide East, </w:t>
      </w:r>
      <w:r w:rsidR="007B2DD3" w:rsidRPr="006874A4">
        <w:rPr>
          <w:rFonts w:ascii="Open Sans" w:hAnsi="Open Sans" w:cs="Open Sans"/>
          <w:sz w:val="22"/>
          <w:szCs w:val="22"/>
        </w:rPr>
        <w:t>Vitafoods Europe</w:t>
      </w:r>
      <w:r w:rsidR="00344610" w:rsidRPr="006874A4">
        <w:rPr>
          <w:rFonts w:ascii="Open Sans" w:hAnsi="Open Sans" w:cs="Open Sans"/>
          <w:sz w:val="22"/>
          <w:szCs w:val="22"/>
        </w:rPr>
        <w:t xml:space="preserve"> and </w:t>
      </w:r>
      <w:r w:rsidR="007B2DD3" w:rsidRPr="006874A4">
        <w:rPr>
          <w:rFonts w:ascii="Open Sans" w:hAnsi="Open Sans" w:cs="Open Sans"/>
          <w:sz w:val="22"/>
          <w:szCs w:val="22"/>
        </w:rPr>
        <w:t>Vitafoods Asia</w:t>
      </w:r>
      <w:r w:rsidR="00344610" w:rsidRPr="006874A4">
        <w:rPr>
          <w:rFonts w:ascii="Open Sans" w:hAnsi="Open Sans" w:cs="Open Sans"/>
          <w:sz w:val="22"/>
          <w:szCs w:val="22"/>
        </w:rPr>
        <w:t xml:space="preserve">. </w:t>
      </w:r>
    </w:p>
    <w:p w14:paraId="14D30CB8" w14:textId="5E436BF7" w:rsidR="007B2DD3" w:rsidRPr="006874A4" w:rsidRDefault="007B2DD3" w:rsidP="007B2DD3">
      <w:pPr>
        <w:pStyle w:val="NormalWeb"/>
        <w:shd w:val="clear" w:color="auto" w:fill="FFFFFF"/>
        <w:spacing w:before="0" w:beforeAutospacing="0" w:after="150" w:afterAutospacing="0" w:line="240" w:lineRule="atLeast"/>
        <w:rPr>
          <w:rFonts w:ascii="Open Sans" w:hAnsi="Open Sans" w:cs="Open Sans"/>
          <w:sz w:val="22"/>
          <w:szCs w:val="22"/>
        </w:rPr>
      </w:pPr>
      <w:r w:rsidRPr="006874A4">
        <w:rPr>
          <w:rFonts w:ascii="Open Sans" w:hAnsi="Open Sans" w:cs="Open Sans"/>
          <w:sz w:val="22"/>
          <w:szCs w:val="22"/>
        </w:rPr>
        <w:t>Natural Products INSIDER is the global media brand covering healthy ingredients and finished applications. Vitafoods Insights offers online content and a series of topic-specific digital magazines that bring highlights of the Vitafoods events to a global audience. </w:t>
      </w:r>
    </w:p>
    <w:p w14:paraId="7F9BB0B4" w14:textId="6555B6A9" w:rsidR="007B2DD3" w:rsidRPr="006874A4" w:rsidRDefault="007B2DD3" w:rsidP="007B2DD3">
      <w:pPr>
        <w:pStyle w:val="NormalWeb"/>
        <w:shd w:val="clear" w:color="auto" w:fill="FFFFFF"/>
        <w:spacing w:before="0" w:beforeAutospacing="0" w:after="150" w:afterAutospacing="0" w:line="240" w:lineRule="atLeast"/>
        <w:rPr>
          <w:rFonts w:ascii="Open Sans" w:hAnsi="Open Sans" w:cs="Open Sans"/>
          <w:sz w:val="22"/>
          <w:szCs w:val="22"/>
        </w:rPr>
      </w:pPr>
      <w:r w:rsidRPr="006874A4">
        <w:rPr>
          <w:rFonts w:ascii="Open Sans" w:hAnsi="Open Sans" w:cs="Open Sans"/>
          <w:sz w:val="22"/>
          <w:szCs w:val="22"/>
        </w:rPr>
        <w:t>For more information, visit </w:t>
      </w:r>
      <w:hyperlink r:id="rId11" w:history="1">
        <w:r w:rsidR="00344610" w:rsidRPr="006874A4">
          <w:rPr>
            <w:rStyle w:val="Hyperlink"/>
            <w:rFonts w:ascii="Open Sans" w:hAnsi="Open Sans" w:cs="Open Sans"/>
            <w:sz w:val="22"/>
            <w:szCs w:val="22"/>
          </w:rPr>
          <w:t>informahealthandnutrition.com</w:t>
        </w:r>
      </w:hyperlink>
      <w:r w:rsidR="00B504D8" w:rsidRPr="006874A4">
        <w:rPr>
          <w:rStyle w:val="Hyperlink"/>
          <w:rFonts w:ascii="Open Sans" w:hAnsi="Open Sans" w:cs="Open Sans"/>
          <w:color w:val="auto"/>
          <w:sz w:val="22"/>
          <w:szCs w:val="22"/>
        </w:rPr>
        <w:t xml:space="preserve"> </w:t>
      </w:r>
    </w:p>
    <w:p w14:paraId="6D6748E1" w14:textId="3FC8195E" w:rsidR="00744057" w:rsidRPr="006874A4" w:rsidRDefault="00744057" w:rsidP="00744057">
      <w:pPr>
        <w:pStyle w:val="NormalWeb"/>
        <w:shd w:val="clear" w:color="auto" w:fill="FFFFFF"/>
        <w:textAlignment w:val="baseline"/>
        <w:rPr>
          <w:rFonts w:ascii="Open Sans" w:hAnsi="Open Sans" w:cs="Open Sans"/>
          <w:color w:val="333333"/>
          <w:sz w:val="22"/>
          <w:szCs w:val="22"/>
        </w:rPr>
      </w:pPr>
      <w:r w:rsidRPr="006874A4">
        <w:rPr>
          <w:rFonts w:ascii="Open Sans" w:hAnsi="Open Sans" w:cs="Open Sans"/>
          <w:color w:val="333333"/>
          <w:sz w:val="22"/>
          <w:szCs w:val="22"/>
        </w:rPr>
        <w:t xml:space="preserve">Informa Markets creates platforms for specialist markets to connect, trade, innovate and grow. </w:t>
      </w:r>
      <w:r w:rsidR="00ED6083" w:rsidRPr="006874A4">
        <w:rPr>
          <w:rFonts w:ascii="Open Sans" w:hAnsi="Open Sans" w:cs="Open Sans"/>
          <w:color w:val="333333"/>
          <w:sz w:val="22"/>
          <w:szCs w:val="22"/>
        </w:rPr>
        <w:t>Informa Markets</w:t>
      </w:r>
      <w:r w:rsidRPr="006874A4">
        <w:rPr>
          <w:rFonts w:ascii="Open Sans" w:hAnsi="Open Sans" w:cs="Open Sans"/>
          <w:color w:val="333333"/>
          <w:sz w:val="22"/>
          <w:szCs w:val="22"/>
        </w:rPr>
        <w:t xml:space="preserve"> operate over 500 major, branded exhibitions where buyers and sellers working in a specialist market can meet face to face, see and show products, conduct business and build relationships. We also provide a range of digital solutions based on data and expert content that connect and engage businesses year-round.</w:t>
      </w:r>
      <w:r w:rsidR="003300D3" w:rsidRPr="006874A4">
        <w:rPr>
          <w:rFonts w:ascii="Open Sans" w:hAnsi="Open Sans" w:cs="Open Sans"/>
          <w:color w:val="333333"/>
          <w:sz w:val="22"/>
          <w:szCs w:val="22"/>
        </w:rPr>
        <w:t xml:space="preserve"> </w:t>
      </w:r>
    </w:p>
    <w:p w14:paraId="57DAF46A" w14:textId="24E42F41" w:rsidR="007B2DD3" w:rsidRPr="006874A4" w:rsidRDefault="007B2DD3" w:rsidP="00744057">
      <w:pPr>
        <w:pStyle w:val="NormalWeb"/>
        <w:shd w:val="clear" w:color="auto" w:fill="FFFFFF"/>
        <w:spacing w:before="0" w:beforeAutospacing="0" w:after="150" w:afterAutospacing="0" w:line="240" w:lineRule="atLeast"/>
        <w:rPr>
          <w:rFonts w:ascii="Open Sans" w:hAnsi="Open Sans" w:cs="Open Sans"/>
          <w:sz w:val="22"/>
          <w:szCs w:val="22"/>
        </w:rPr>
      </w:pPr>
      <w:r w:rsidRPr="006874A4">
        <w:rPr>
          <w:rFonts w:ascii="Open Sans" w:hAnsi="Open Sans" w:cs="Open Sans"/>
          <w:b/>
          <w:bCs/>
          <w:sz w:val="22"/>
          <w:szCs w:val="22"/>
          <w:u w:val="single"/>
        </w:rPr>
        <w:t>Press Contact</w:t>
      </w:r>
    </w:p>
    <w:p w14:paraId="05DF5DE1" w14:textId="77777777" w:rsidR="007B2DD3" w:rsidRPr="006874A4" w:rsidRDefault="007B2DD3" w:rsidP="007B2DD3">
      <w:pPr>
        <w:pStyle w:val="NormalWeb"/>
        <w:shd w:val="clear" w:color="auto" w:fill="FFFFFF"/>
        <w:spacing w:before="0" w:beforeAutospacing="0" w:after="150" w:afterAutospacing="0" w:line="240" w:lineRule="atLeast"/>
        <w:rPr>
          <w:rFonts w:ascii="Open Sans" w:hAnsi="Open Sans" w:cs="Open Sans"/>
          <w:sz w:val="22"/>
          <w:szCs w:val="22"/>
        </w:rPr>
      </w:pPr>
      <w:r w:rsidRPr="006874A4">
        <w:rPr>
          <w:rFonts w:ascii="Open Sans" w:hAnsi="Open Sans" w:cs="Open Sans"/>
          <w:sz w:val="22"/>
          <w:szCs w:val="22"/>
          <w:shd w:val="clear" w:color="auto" w:fill="FFFFFF"/>
        </w:rPr>
        <w:t xml:space="preserve">Theodore </w:t>
      </w:r>
      <w:proofErr w:type="spellStart"/>
      <w:r w:rsidRPr="006874A4">
        <w:rPr>
          <w:rFonts w:ascii="Open Sans" w:hAnsi="Open Sans" w:cs="Open Sans"/>
          <w:sz w:val="22"/>
          <w:szCs w:val="22"/>
          <w:shd w:val="clear" w:color="auto" w:fill="FFFFFF"/>
        </w:rPr>
        <w:t>Woon</w:t>
      </w:r>
      <w:proofErr w:type="spellEnd"/>
      <w:r w:rsidRPr="006874A4">
        <w:rPr>
          <w:rFonts w:ascii="Open Sans" w:hAnsi="Open Sans" w:cs="Open Sans"/>
          <w:sz w:val="22"/>
          <w:szCs w:val="22"/>
          <w:shd w:val="clear" w:color="auto" w:fill="FFFFFF"/>
        </w:rPr>
        <w:t xml:space="preserve"> </w:t>
      </w:r>
      <w:r w:rsidRPr="006874A4">
        <w:rPr>
          <w:rFonts w:ascii="Open Sans" w:hAnsi="Open Sans" w:cs="Open Sans"/>
          <w:sz w:val="22"/>
          <w:szCs w:val="22"/>
        </w:rPr>
        <w:t>| </w:t>
      </w:r>
      <w:r w:rsidRPr="006874A4">
        <w:rPr>
          <w:rFonts w:ascii="Open Sans" w:hAnsi="Open Sans" w:cs="Open Sans"/>
          <w:b/>
          <w:bCs/>
          <w:i/>
          <w:iCs/>
          <w:sz w:val="22"/>
          <w:szCs w:val="22"/>
        </w:rPr>
        <w:t>t</w:t>
      </w:r>
      <w:r w:rsidRPr="006874A4">
        <w:rPr>
          <w:rFonts w:ascii="Open Sans" w:hAnsi="Open Sans" w:cs="Open Sans"/>
          <w:sz w:val="22"/>
          <w:szCs w:val="22"/>
        </w:rPr>
        <w:t>: +65 9155 3507 | </w:t>
      </w:r>
      <w:r w:rsidRPr="006874A4">
        <w:rPr>
          <w:rFonts w:ascii="Open Sans" w:hAnsi="Open Sans" w:cs="Open Sans"/>
          <w:b/>
          <w:bCs/>
          <w:i/>
          <w:iCs/>
          <w:sz w:val="22"/>
          <w:szCs w:val="22"/>
        </w:rPr>
        <w:t>e</w:t>
      </w:r>
      <w:r w:rsidRPr="006874A4">
        <w:rPr>
          <w:rFonts w:ascii="Open Sans" w:hAnsi="Open Sans" w:cs="Open Sans"/>
          <w:sz w:val="22"/>
          <w:szCs w:val="22"/>
        </w:rPr>
        <w:t>: </w:t>
      </w:r>
      <w:hyperlink r:id="rId12" w:tgtFrame="_blank" w:history="1">
        <w:r w:rsidRPr="006874A4">
          <w:rPr>
            <w:rStyle w:val="Hyperlink"/>
            <w:rFonts w:ascii="Open Sans" w:hAnsi="Open Sans" w:cs="Open Sans"/>
            <w:color w:val="auto"/>
            <w:sz w:val="22"/>
            <w:szCs w:val="22"/>
          </w:rPr>
          <w:t>theo@pinpointpr.sg</w:t>
        </w:r>
      </w:hyperlink>
    </w:p>
    <w:p w14:paraId="559788A6" w14:textId="77777777" w:rsidR="007B2DD3" w:rsidRPr="006874A4" w:rsidRDefault="007B2DD3" w:rsidP="007B2DD3">
      <w:pPr>
        <w:spacing w:after="0" w:line="240" w:lineRule="auto"/>
        <w:jc w:val="both"/>
        <w:rPr>
          <w:rFonts w:ascii="Open Sans" w:hAnsi="Open Sans" w:cs="Open Sans"/>
          <w:sz w:val="22"/>
          <w:szCs w:val="22"/>
        </w:rPr>
      </w:pPr>
    </w:p>
    <w:sectPr w:rsidR="007B2DD3" w:rsidRPr="006874A4" w:rsidSect="007D1920">
      <w:headerReference w:type="default" r:id="rId13"/>
      <w:footerReference w:type="default" r:id="rId14"/>
      <w:headerReference w:type="first" r:id="rId15"/>
      <w:pgSz w:w="11906" w:h="16838" w:code="9"/>
      <w:pgMar w:top="2552" w:right="851" w:bottom="1134" w:left="1531"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77CA3" w14:textId="77777777" w:rsidR="00C554F7" w:rsidRDefault="00C554F7" w:rsidP="00C702C7">
      <w:r>
        <w:separator/>
      </w:r>
    </w:p>
  </w:endnote>
  <w:endnote w:type="continuationSeparator" w:id="0">
    <w:p w14:paraId="75CCE72B" w14:textId="77777777" w:rsidR="00C554F7" w:rsidRDefault="00C554F7" w:rsidP="00C702C7">
      <w:r>
        <w:continuationSeparator/>
      </w:r>
    </w:p>
  </w:endnote>
  <w:endnote w:id="1">
    <w:p w14:paraId="31622B5C" w14:textId="77777777" w:rsidR="007B2DD3" w:rsidRPr="00235DEE" w:rsidRDefault="007B2DD3" w:rsidP="007B2DD3">
      <w:pPr>
        <w:pStyle w:val="EndnoteText"/>
        <w:rPr>
          <w:rFonts w:ascii="Open Sans" w:hAnsi="Open Sans" w:cs="Open Sans"/>
          <w:sz w:val="18"/>
          <w:szCs w:val="18"/>
        </w:rPr>
      </w:pPr>
      <w:r w:rsidRPr="00235DEE">
        <w:rPr>
          <w:rStyle w:val="EndnoteReference"/>
          <w:rFonts w:ascii="Open Sans" w:hAnsi="Open Sans" w:cs="Open Sans"/>
          <w:sz w:val="18"/>
          <w:szCs w:val="18"/>
        </w:rPr>
        <w:endnoteRef/>
      </w:r>
      <w:r w:rsidRPr="00235DEE">
        <w:rPr>
          <w:rFonts w:ascii="Open Sans" w:hAnsi="Open Sans" w:cs="Open Sans"/>
          <w:sz w:val="18"/>
          <w:szCs w:val="18"/>
        </w:rPr>
        <w:t xml:space="preserve"> </w:t>
      </w:r>
      <w:hyperlink r:id="rId1" w:history="1">
        <w:r w:rsidRPr="00235DEE">
          <w:rPr>
            <w:rStyle w:val="Hyperlink"/>
            <w:rFonts w:ascii="Open Sans" w:hAnsi="Open Sans" w:cs="Open Sans"/>
            <w:sz w:val="18"/>
            <w:szCs w:val="18"/>
          </w:rPr>
          <w:t>https://www.nutraceuticalsworld.com/issues/2018-11/view_features/key-trends-in-functional-foods-beverages-for-2019</w:t>
        </w:r>
      </w:hyperlink>
      <w:r w:rsidRPr="00235DEE">
        <w:rPr>
          <w:rFonts w:ascii="Open Sans" w:hAnsi="Open Sans" w:cs="Open Sans"/>
          <w:sz w:val="18"/>
          <w:szCs w:val="18"/>
        </w:rPr>
        <w:t xml:space="preserve"> </w:t>
      </w:r>
    </w:p>
  </w:endnote>
  <w:endnote w:id="2">
    <w:p w14:paraId="1E264735" w14:textId="77777777" w:rsidR="007B2DD3" w:rsidRPr="00235DEE" w:rsidRDefault="007B2DD3" w:rsidP="007B2DD3">
      <w:pPr>
        <w:pStyle w:val="EndnoteText"/>
        <w:rPr>
          <w:rFonts w:ascii="Open Sans" w:hAnsi="Open Sans" w:cs="Open Sans"/>
          <w:sz w:val="18"/>
          <w:szCs w:val="18"/>
        </w:rPr>
      </w:pPr>
      <w:r w:rsidRPr="00235DEE">
        <w:rPr>
          <w:rStyle w:val="EndnoteReference"/>
          <w:rFonts w:ascii="Open Sans" w:hAnsi="Open Sans" w:cs="Open Sans"/>
          <w:sz w:val="18"/>
          <w:szCs w:val="18"/>
        </w:rPr>
        <w:endnoteRef/>
      </w:r>
      <w:r w:rsidRPr="00235DEE">
        <w:rPr>
          <w:rFonts w:ascii="Open Sans" w:hAnsi="Open Sans" w:cs="Open Sans"/>
          <w:sz w:val="18"/>
          <w:szCs w:val="18"/>
        </w:rPr>
        <w:t xml:space="preserve"> </w:t>
      </w:r>
      <w:hyperlink r:id="rId2" w:history="1">
        <w:r w:rsidRPr="00235DEE">
          <w:rPr>
            <w:rStyle w:val="Hyperlink"/>
            <w:rFonts w:ascii="Open Sans" w:hAnsi="Open Sans" w:cs="Open Sans"/>
            <w:sz w:val="18"/>
            <w:szCs w:val="18"/>
          </w:rPr>
          <w:t>https://www.nutraingredients-asia.com/Article/2018/12/17/Five-trends-that-will-shape-APAC-s-nutraceutical-and-supplements-industry-in-2019</w:t>
        </w:r>
      </w:hyperlink>
      <w:r w:rsidRPr="00235DEE">
        <w:rPr>
          <w:rFonts w:ascii="Open Sans" w:hAnsi="Open Sans" w:cs="Open Sans"/>
          <w:sz w:val="18"/>
          <w:szCs w:val="18"/>
        </w:rPr>
        <w:t xml:space="preserve"> </w:t>
      </w:r>
    </w:p>
  </w:endnote>
  <w:endnote w:id="3">
    <w:p w14:paraId="3D868D7A" w14:textId="77777777" w:rsidR="007B2DD3" w:rsidRDefault="007B2DD3" w:rsidP="007B2DD3">
      <w:pPr>
        <w:pStyle w:val="EndnoteText"/>
      </w:pPr>
      <w:r>
        <w:rPr>
          <w:rStyle w:val="EndnoteReference"/>
        </w:rPr>
        <w:endnoteRef/>
      </w:r>
      <w:r>
        <w:t xml:space="preserve"> </w:t>
      </w:r>
      <w:r w:rsidRPr="00E96D86">
        <w:t>https://development.asia/policy-brief/how-technology-can-turn-asia%E2%80%99s-aging-workforce-advantage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Open Sans SemiBold">
    <w:altName w:val="Segoe UI"/>
    <w:charset w:val="00"/>
    <w:family w:val="swiss"/>
    <w:pitch w:val="variable"/>
    <w:sig w:usb0="E00002EF" w:usb1="4000205B" w:usb2="00000028" w:usb3="00000000" w:csb0="0000019F" w:csb1="00000000"/>
  </w:font>
  <w:font w:name="Aleo">
    <w:altName w:val="Calibri"/>
    <w:charset w:val="00"/>
    <w:family w:val="auto"/>
    <w:pitch w:val="variable"/>
    <w:sig w:usb0="00000007" w:usb1="00000000" w:usb2="00000000" w:usb3="00000000" w:csb0="00000083"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Rockwell">
    <w:panose1 w:val="02060603020205020403"/>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BD544" w14:textId="3B567A5D" w:rsidR="007D1920" w:rsidRDefault="00545BD7" w:rsidP="00D20AFB">
    <w:pPr>
      <w:pStyle w:val="Footer"/>
      <w:tabs>
        <w:tab w:val="right" w:pos="9026"/>
      </w:tabs>
    </w:pPr>
    <w:r>
      <w:rPr>
        <w:noProof/>
      </w:rPr>
      <mc:AlternateContent>
        <mc:Choice Requires="wps">
          <w:drawing>
            <wp:anchor distT="0" distB="0" distL="114300" distR="114300" simplePos="0" relativeHeight="251659264" behindDoc="0" locked="0" layoutInCell="0" allowOverlap="1" wp14:anchorId="7FA1049E" wp14:editId="52E2BB5B">
              <wp:simplePos x="0" y="0"/>
              <wp:positionH relativeFrom="page">
                <wp:posOffset>0</wp:posOffset>
              </wp:positionH>
              <wp:positionV relativeFrom="page">
                <wp:posOffset>10234930</wp:posOffset>
              </wp:positionV>
              <wp:extent cx="7560310" cy="266700"/>
              <wp:effectExtent l="0" t="0" r="0" b="0"/>
              <wp:wrapNone/>
              <wp:docPr id="1" name="MSIPCM48a84ae490c56181d4910b70" descr="{&quot;HashCode&quot;:156159341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5D6014" w14:textId="68C56EF6" w:rsidR="00545BD7" w:rsidRPr="00545BD7" w:rsidRDefault="00545BD7" w:rsidP="00545BD7">
                          <w:pPr>
                            <w:spacing w:after="0"/>
                            <w:rPr>
                              <w:rFonts w:ascii="Rockwell" w:hAnsi="Rockwell"/>
                              <w:color w:val="0078D7"/>
                            </w:rPr>
                          </w:pPr>
                          <w:r w:rsidRPr="00545BD7">
                            <w:rPr>
                              <w:rFonts w:ascii="Rockwell" w:hAnsi="Rockwell"/>
                              <w:color w:val="0078D7"/>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A1049E" id="_x0000_t202" coordsize="21600,21600" o:spt="202" path="m,l,21600r21600,l21600,xe">
              <v:stroke joinstyle="miter"/>
              <v:path gradientshapeok="t" o:connecttype="rect"/>
            </v:shapetype>
            <v:shape id="MSIPCM48a84ae490c56181d4910b70" o:spid="_x0000_s1026" type="#_x0000_t202" alt="{&quot;HashCode&quot;:156159341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CfgzKxHgMAADcGAAAOAAAAAAAA&#10;AAAAAAAAAC4CAABkcnMvZTJvRG9jLnhtbFBLAQItABQABgAIAAAAIQBgEcYm3gAAAAsBAAAPAAAA&#10;AAAAAAAAAAAAAHgFAABkcnMvZG93bnJldi54bWxQSwUGAAAAAAQABADzAAAAgwYAAAAA&#10;" o:allowincell="f" filled="f" stroked="f" strokeweight=".5pt">
              <v:textbox inset="20pt,0,,0">
                <w:txbxContent>
                  <w:p w14:paraId="645D6014" w14:textId="68C56EF6" w:rsidR="00545BD7" w:rsidRPr="00545BD7" w:rsidRDefault="00545BD7" w:rsidP="00545BD7">
                    <w:pPr>
                      <w:spacing w:after="0"/>
                      <w:rPr>
                        <w:rFonts w:ascii="Rockwell" w:hAnsi="Rockwell"/>
                        <w:color w:val="0078D7"/>
                      </w:rPr>
                    </w:pPr>
                    <w:r w:rsidRPr="00545BD7">
                      <w:rPr>
                        <w:rFonts w:ascii="Rockwell" w:hAnsi="Rockwell"/>
                        <w:color w:val="0078D7"/>
                      </w:rPr>
                      <w:t>Information Classification: General</w:t>
                    </w:r>
                  </w:p>
                </w:txbxContent>
              </v:textbox>
              <w10:wrap anchorx="page" anchory="page"/>
            </v:shape>
          </w:pict>
        </mc:Fallback>
      </mc:AlternateContent>
    </w:r>
  </w:p>
  <w:p w14:paraId="2FCBD3C6" w14:textId="21E1014E" w:rsidR="00D20AFB" w:rsidRDefault="00D20AFB" w:rsidP="00D20AFB">
    <w:pPr>
      <w:pStyle w:val="Footer"/>
      <w:tabs>
        <w:tab w:val="right" w:pos="9026"/>
      </w:tabs>
    </w:pPr>
    <w:r>
      <w:t xml:space="preserve">Registered in England and Wales. Registered Number 3099067. </w:t>
    </w:r>
  </w:p>
  <w:p w14:paraId="3988262D" w14:textId="36362E67" w:rsidR="00F15F5C" w:rsidRDefault="00D20AFB" w:rsidP="00D20AFB">
    <w:pPr>
      <w:pStyle w:val="Footer"/>
      <w:tabs>
        <w:tab w:val="right" w:pos="9026"/>
      </w:tabs>
    </w:pPr>
    <w:r>
      <w:t>Registered office address: 5 Howick Place, London SW1P 1WG, United Kingdom.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140C8" w14:textId="77777777" w:rsidR="00C554F7" w:rsidRDefault="00C554F7" w:rsidP="00C702C7">
      <w:r>
        <w:separator/>
      </w:r>
    </w:p>
  </w:footnote>
  <w:footnote w:type="continuationSeparator" w:id="0">
    <w:p w14:paraId="65748601" w14:textId="77777777" w:rsidR="00C554F7" w:rsidRDefault="00C554F7" w:rsidP="00C7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690A7" w14:textId="77777777" w:rsidR="00255F61" w:rsidRDefault="00295D86">
    <w:pPr>
      <w:pStyle w:val="Header"/>
    </w:pPr>
    <w:r>
      <w:rPr>
        <w:noProof/>
      </w:rPr>
      <w:drawing>
        <wp:anchor distT="0" distB="0" distL="114300" distR="114300" simplePos="0" relativeHeight="251657728" behindDoc="0" locked="1" layoutInCell="1" allowOverlap="1" wp14:anchorId="310D139E" wp14:editId="5DB669E4">
          <wp:simplePos x="0" y="0"/>
          <wp:positionH relativeFrom="page">
            <wp:posOffset>431800</wp:posOffset>
          </wp:positionH>
          <wp:positionV relativeFrom="page">
            <wp:posOffset>431800</wp:posOffset>
          </wp:positionV>
          <wp:extent cx="1346200" cy="43561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4356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BE2B" w14:textId="77777777" w:rsidR="003816AF" w:rsidRDefault="00295D86">
    <w:pPr>
      <w:pStyle w:val="Header"/>
    </w:pPr>
    <w:r>
      <w:rPr>
        <w:noProof/>
      </w:rPr>
      <w:drawing>
        <wp:anchor distT="0" distB="0" distL="114300" distR="114300" simplePos="0" relativeHeight="251656704" behindDoc="0" locked="1" layoutInCell="1" allowOverlap="1" wp14:anchorId="29D9DF08" wp14:editId="264E0E19">
          <wp:simplePos x="0" y="0"/>
          <wp:positionH relativeFrom="page">
            <wp:posOffset>431800</wp:posOffset>
          </wp:positionH>
          <wp:positionV relativeFrom="page">
            <wp:posOffset>431800</wp:posOffset>
          </wp:positionV>
          <wp:extent cx="1346200" cy="435610"/>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4356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9D42924"/>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B38CB2B6"/>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B78C072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366BD0"/>
    <w:multiLevelType w:val="multilevel"/>
    <w:tmpl w:val="15F6EE94"/>
    <w:lvl w:ilvl="0">
      <w:start w:val="1"/>
      <w:numFmt w:val="decimal"/>
      <w:lvlText w:val="%1."/>
      <w:lvlJc w:val="left"/>
      <w:pPr>
        <w:ind w:left="20" w:hanging="360"/>
      </w:pPr>
      <w:rPr>
        <w:rFonts w:hint="default"/>
        <w:b w:val="0"/>
        <w:i w:val="0"/>
        <w:color w:val="00000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8"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2"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4" w15:restartNumberingAfterBreak="0">
    <w:nsid w:val="61425E9D"/>
    <w:multiLevelType w:val="hybridMultilevel"/>
    <w:tmpl w:val="C9684C9A"/>
    <w:lvl w:ilvl="0" w:tplc="1616CDF4">
      <w:start w:val="1"/>
      <w:numFmt w:val="bullet"/>
      <w:pStyle w:val="Table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2"/>
  </w:num>
  <w:num w:numId="4">
    <w:abstractNumId w:val="0"/>
  </w:num>
  <w:num w:numId="5">
    <w:abstractNumId w:val="9"/>
  </w:num>
  <w:num w:numId="6">
    <w:abstractNumId w:val="13"/>
  </w:num>
  <w:num w:numId="7">
    <w:abstractNumId w:val="13"/>
    <w:lvlOverride w:ilvl="0">
      <w:startOverride w:val="1"/>
    </w:lvlOverride>
  </w:num>
  <w:num w:numId="8">
    <w:abstractNumId w:val="11"/>
  </w:num>
  <w:num w:numId="9">
    <w:abstractNumId w:val="12"/>
  </w:num>
  <w:num w:numId="10">
    <w:abstractNumId w:val="6"/>
  </w:num>
  <w:num w:numId="11">
    <w:abstractNumId w:val="7"/>
  </w:num>
  <w:num w:numId="12">
    <w:abstractNumId w:val="1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10"/>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86"/>
    <w:rsid w:val="000005FE"/>
    <w:rsid w:val="00001896"/>
    <w:rsid w:val="000131A3"/>
    <w:rsid w:val="00014B89"/>
    <w:rsid w:val="00021A39"/>
    <w:rsid w:val="00025E7D"/>
    <w:rsid w:val="00037C17"/>
    <w:rsid w:val="000429AC"/>
    <w:rsid w:val="00042B6A"/>
    <w:rsid w:val="00042B99"/>
    <w:rsid w:val="000637A6"/>
    <w:rsid w:val="00066BBA"/>
    <w:rsid w:val="00071509"/>
    <w:rsid w:val="00083DD5"/>
    <w:rsid w:val="000C20BD"/>
    <w:rsid w:val="000C5EA5"/>
    <w:rsid w:val="000D2DE0"/>
    <w:rsid w:val="000F5C22"/>
    <w:rsid w:val="0010462B"/>
    <w:rsid w:val="00123AD3"/>
    <w:rsid w:val="00130191"/>
    <w:rsid w:val="001708B9"/>
    <w:rsid w:val="0017280D"/>
    <w:rsid w:val="001757CE"/>
    <w:rsid w:val="00180BDA"/>
    <w:rsid w:val="0018108F"/>
    <w:rsid w:val="00186FC8"/>
    <w:rsid w:val="001975EF"/>
    <w:rsid w:val="0019765A"/>
    <w:rsid w:val="001A45CF"/>
    <w:rsid w:val="001B5C19"/>
    <w:rsid w:val="001D03A7"/>
    <w:rsid w:val="001E73BE"/>
    <w:rsid w:val="001E7D3E"/>
    <w:rsid w:val="001F61B8"/>
    <w:rsid w:val="00216CF6"/>
    <w:rsid w:val="00220CCF"/>
    <w:rsid w:val="00231B44"/>
    <w:rsid w:val="002340B6"/>
    <w:rsid w:val="00234BA2"/>
    <w:rsid w:val="0024795D"/>
    <w:rsid w:val="00253D2A"/>
    <w:rsid w:val="00255D53"/>
    <w:rsid w:val="00255F61"/>
    <w:rsid w:val="00295D86"/>
    <w:rsid w:val="00297214"/>
    <w:rsid w:val="002B533B"/>
    <w:rsid w:val="002C5FEA"/>
    <w:rsid w:val="002C690A"/>
    <w:rsid w:val="002D41F7"/>
    <w:rsid w:val="002E1C00"/>
    <w:rsid w:val="002E1D54"/>
    <w:rsid w:val="002E7099"/>
    <w:rsid w:val="002F2771"/>
    <w:rsid w:val="00306D92"/>
    <w:rsid w:val="003121C1"/>
    <w:rsid w:val="0032373B"/>
    <w:rsid w:val="003300D3"/>
    <w:rsid w:val="003337FF"/>
    <w:rsid w:val="00333E25"/>
    <w:rsid w:val="00337680"/>
    <w:rsid w:val="00344610"/>
    <w:rsid w:val="00357E4F"/>
    <w:rsid w:val="00375EB8"/>
    <w:rsid w:val="00377AE4"/>
    <w:rsid w:val="003816AF"/>
    <w:rsid w:val="003863C7"/>
    <w:rsid w:val="0039181B"/>
    <w:rsid w:val="003B74BB"/>
    <w:rsid w:val="003C12AF"/>
    <w:rsid w:val="003C4DE4"/>
    <w:rsid w:val="003E138D"/>
    <w:rsid w:val="003E1820"/>
    <w:rsid w:val="00404297"/>
    <w:rsid w:val="004052BC"/>
    <w:rsid w:val="00412EA0"/>
    <w:rsid w:val="0044558B"/>
    <w:rsid w:val="004509E3"/>
    <w:rsid w:val="00451AD9"/>
    <w:rsid w:val="0047329D"/>
    <w:rsid w:val="00473614"/>
    <w:rsid w:val="00484DC6"/>
    <w:rsid w:val="004860A3"/>
    <w:rsid w:val="004A0DCC"/>
    <w:rsid w:val="004C338F"/>
    <w:rsid w:val="004D49FC"/>
    <w:rsid w:val="004F47B4"/>
    <w:rsid w:val="004F4A4B"/>
    <w:rsid w:val="004F61F1"/>
    <w:rsid w:val="00501EFF"/>
    <w:rsid w:val="00526CDD"/>
    <w:rsid w:val="005270F9"/>
    <w:rsid w:val="00533349"/>
    <w:rsid w:val="00543BA8"/>
    <w:rsid w:val="00545BD7"/>
    <w:rsid w:val="00563C6F"/>
    <w:rsid w:val="00566858"/>
    <w:rsid w:val="00573556"/>
    <w:rsid w:val="00573D2F"/>
    <w:rsid w:val="00581ADB"/>
    <w:rsid w:val="005843DE"/>
    <w:rsid w:val="005851C8"/>
    <w:rsid w:val="0059682F"/>
    <w:rsid w:val="005B6B53"/>
    <w:rsid w:val="005D5512"/>
    <w:rsid w:val="005F525A"/>
    <w:rsid w:val="005F54F5"/>
    <w:rsid w:val="005F74C0"/>
    <w:rsid w:val="00605199"/>
    <w:rsid w:val="00624C5E"/>
    <w:rsid w:val="00640451"/>
    <w:rsid w:val="006503F7"/>
    <w:rsid w:val="00671EC0"/>
    <w:rsid w:val="00676F48"/>
    <w:rsid w:val="0067770B"/>
    <w:rsid w:val="00686056"/>
    <w:rsid w:val="006874A4"/>
    <w:rsid w:val="006A473D"/>
    <w:rsid w:val="006B16E0"/>
    <w:rsid w:val="006B4816"/>
    <w:rsid w:val="006C5AD3"/>
    <w:rsid w:val="006C617F"/>
    <w:rsid w:val="006D6A17"/>
    <w:rsid w:val="00700A0A"/>
    <w:rsid w:val="007172D9"/>
    <w:rsid w:val="00720888"/>
    <w:rsid w:val="0072746D"/>
    <w:rsid w:val="00734C1B"/>
    <w:rsid w:val="00744057"/>
    <w:rsid w:val="0074606B"/>
    <w:rsid w:val="007516F0"/>
    <w:rsid w:val="00753A99"/>
    <w:rsid w:val="00757C99"/>
    <w:rsid w:val="007623DC"/>
    <w:rsid w:val="0076614E"/>
    <w:rsid w:val="00770C6F"/>
    <w:rsid w:val="0078779B"/>
    <w:rsid w:val="007924D8"/>
    <w:rsid w:val="0079305A"/>
    <w:rsid w:val="00795877"/>
    <w:rsid w:val="007B2DD3"/>
    <w:rsid w:val="007B2FB1"/>
    <w:rsid w:val="007C008A"/>
    <w:rsid w:val="007C5F58"/>
    <w:rsid w:val="007C6518"/>
    <w:rsid w:val="007C7944"/>
    <w:rsid w:val="007D1920"/>
    <w:rsid w:val="007D68D9"/>
    <w:rsid w:val="007E03C0"/>
    <w:rsid w:val="007E2836"/>
    <w:rsid w:val="007E2F12"/>
    <w:rsid w:val="007E568A"/>
    <w:rsid w:val="007F4828"/>
    <w:rsid w:val="00806B16"/>
    <w:rsid w:val="00813DBC"/>
    <w:rsid w:val="00813F7A"/>
    <w:rsid w:val="00822FC7"/>
    <w:rsid w:val="0082520E"/>
    <w:rsid w:val="00856A0E"/>
    <w:rsid w:val="00872FD2"/>
    <w:rsid w:val="00873D35"/>
    <w:rsid w:val="00876869"/>
    <w:rsid w:val="0089461C"/>
    <w:rsid w:val="00894F9A"/>
    <w:rsid w:val="008C0EAA"/>
    <w:rsid w:val="008C5A91"/>
    <w:rsid w:val="008D59F6"/>
    <w:rsid w:val="008E1C7D"/>
    <w:rsid w:val="008E7898"/>
    <w:rsid w:val="008E7B8E"/>
    <w:rsid w:val="008E7ED3"/>
    <w:rsid w:val="00905422"/>
    <w:rsid w:val="00906972"/>
    <w:rsid w:val="00930258"/>
    <w:rsid w:val="00930A39"/>
    <w:rsid w:val="009350F0"/>
    <w:rsid w:val="009635F4"/>
    <w:rsid w:val="00977BEA"/>
    <w:rsid w:val="00991538"/>
    <w:rsid w:val="0099372E"/>
    <w:rsid w:val="00995104"/>
    <w:rsid w:val="009A0464"/>
    <w:rsid w:val="009A44A5"/>
    <w:rsid w:val="009B2D95"/>
    <w:rsid w:val="009C403B"/>
    <w:rsid w:val="009D3564"/>
    <w:rsid w:val="009E006D"/>
    <w:rsid w:val="009E0A65"/>
    <w:rsid w:val="009E5122"/>
    <w:rsid w:val="00A17957"/>
    <w:rsid w:val="00A276E7"/>
    <w:rsid w:val="00A32258"/>
    <w:rsid w:val="00A33333"/>
    <w:rsid w:val="00A43B3E"/>
    <w:rsid w:val="00A659E1"/>
    <w:rsid w:val="00A80E26"/>
    <w:rsid w:val="00A85445"/>
    <w:rsid w:val="00A9095F"/>
    <w:rsid w:val="00A90B8D"/>
    <w:rsid w:val="00A91F70"/>
    <w:rsid w:val="00AA34E3"/>
    <w:rsid w:val="00AB3DD5"/>
    <w:rsid w:val="00AC1D94"/>
    <w:rsid w:val="00AE710A"/>
    <w:rsid w:val="00B020E4"/>
    <w:rsid w:val="00B262AB"/>
    <w:rsid w:val="00B270DA"/>
    <w:rsid w:val="00B33CB7"/>
    <w:rsid w:val="00B504D8"/>
    <w:rsid w:val="00B55B00"/>
    <w:rsid w:val="00B617CD"/>
    <w:rsid w:val="00B71059"/>
    <w:rsid w:val="00B76AF5"/>
    <w:rsid w:val="00B805E0"/>
    <w:rsid w:val="00BB42D2"/>
    <w:rsid w:val="00BB6A33"/>
    <w:rsid w:val="00BB6CB3"/>
    <w:rsid w:val="00BC266F"/>
    <w:rsid w:val="00BE48D2"/>
    <w:rsid w:val="00C04DCF"/>
    <w:rsid w:val="00C06177"/>
    <w:rsid w:val="00C075EA"/>
    <w:rsid w:val="00C23990"/>
    <w:rsid w:val="00C25EC1"/>
    <w:rsid w:val="00C34C43"/>
    <w:rsid w:val="00C46EF8"/>
    <w:rsid w:val="00C50A26"/>
    <w:rsid w:val="00C554F7"/>
    <w:rsid w:val="00C61AC6"/>
    <w:rsid w:val="00C702C7"/>
    <w:rsid w:val="00C8703B"/>
    <w:rsid w:val="00CA4E63"/>
    <w:rsid w:val="00CA5B05"/>
    <w:rsid w:val="00CB129F"/>
    <w:rsid w:val="00CC5E8F"/>
    <w:rsid w:val="00CD269D"/>
    <w:rsid w:val="00CF7F7F"/>
    <w:rsid w:val="00D20AFB"/>
    <w:rsid w:val="00D236E8"/>
    <w:rsid w:val="00D27B73"/>
    <w:rsid w:val="00D4280C"/>
    <w:rsid w:val="00D5297D"/>
    <w:rsid w:val="00D52A6A"/>
    <w:rsid w:val="00D61DFC"/>
    <w:rsid w:val="00D815D0"/>
    <w:rsid w:val="00DA1962"/>
    <w:rsid w:val="00DB0CB1"/>
    <w:rsid w:val="00DB5D79"/>
    <w:rsid w:val="00DC4D91"/>
    <w:rsid w:val="00DD64B2"/>
    <w:rsid w:val="00DF4B62"/>
    <w:rsid w:val="00E0517E"/>
    <w:rsid w:val="00E26113"/>
    <w:rsid w:val="00E266A4"/>
    <w:rsid w:val="00E32484"/>
    <w:rsid w:val="00E35306"/>
    <w:rsid w:val="00E35847"/>
    <w:rsid w:val="00E40C72"/>
    <w:rsid w:val="00E51605"/>
    <w:rsid w:val="00E56F4A"/>
    <w:rsid w:val="00E87432"/>
    <w:rsid w:val="00E943B8"/>
    <w:rsid w:val="00EB209E"/>
    <w:rsid w:val="00EB2F8F"/>
    <w:rsid w:val="00EB5CD1"/>
    <w:rsid w:val="00ED2FCF"/>
    <w:rsid w:val="00ED6083"/>
    <w:rsid w:val="00EE16D4"/>
    <w:rsid w:val="00EE2C87"/>
    <w:rsid w:val="00EE3C56"/>
    <w:rsid w:val="00EF2A01"/>
    <w:rsid w:val="00EF4086"/>
    <w:rsid w:val="00F045B9"/>
    <w:rsid w:val="00F15F5C"/>
    <w:rsid w:val="00F3081C"/>
    <w:rsid w:val="00F448EC"/>
    <w:rsid w:val="00F5570F"/>
    <w:rsid w:val="00F565A3"/>
    <w:rsid w:val="00F6135A"/>
    <w:rsid w:val="00F64334"/>
    <w:rsid w:val="00F7435C"/>
    <w:rsid w:val="00F7597C"/>
    <w:rsid w:val="00F81495"/>
    <w:rsid w:val="00F9119D"/>
    <w:rsid w:val="00FA7E37"/>
    <w:rsid w:val="00FC5C06"/>
    <w:rsid w:val="00FD505C"/>
    <w:rsid w:val="00FE7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90CE4"/>
  <w15:chartTrackingRefBased/>
  <w15:docId w15:val="{57DBFE37-1569-4BBD-B580-A93549C9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Light" w:eastAsia="SimSun" w:hAnsi="Open Sans Light"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896"/>
    <w:pPr>
      <w:spacing w:after="110" w:line="240" w:lineRule="atLeast"/>
    </w:pPr>
    <w:rPr>
      <w:sz w:val="18"/>
      <w:szCs w:val="24"/>
      <w:lang w:val="en-GB"/>
    </w:rPr>
  </w:style>
  <w:style w:type="paragraph" w:styleId="Heading1">
    <w:name w:val="heading 1"/>
    <w:basedOn w:val="Normal"/>
    <w:next w:val="Normal"/>
    <w:link w:val="Heading1Char"/>
    <w:uiPriority w:val="9"/>
    <w:qFormat/>
    <w:rsid w:val="0047329D"/>
    <w:pPr>
      <w:keepNext/>
      <w:keepLines/>
      <w:spacing w:after="199" w:line="400" w:lineRule="atLeast"/>
      <w:outlineLvl w:val="0"/>
    </w:pPr>
    <w:rPr>
      <w:rFonts w:eastAsia="MingLiU"/>
      <w:bCs/>
      <w:color w:val="0098DE"/>
      <w:sz w:val="32"/>
      <w:szCs w:val="28"/>
    </w:rPr>
  </w:style>
  <w:style w:type="paragraph" w:styleId="Heading2">
    <w:name w:val="heading 2"/>
    <w:basedOn w:val="Normal"/>
    <w:next w:val="Normal"/>
    <w:link w:val="Heading2Char"/>
    <w:uiPriority w:val="9"/>
    <w:qFormat/>
    <w:rsid w:val="007924D8"/>
    <w:pPr>
      <w:keepNext/>
      <w:keepLines/>
      <w:spacing w:after="108"/>
      <w:outlineLvl w:val="1"/>
    </w:pPr>
    <w:rPr>
      <w:rFonts w:ascii="Open Sans SemiBold" w:eastAsia="MingLiU" w:hAnsi="Open Sans SemiBold"/>
      <w:bCs/>
      <w:color w:val="0098DE"/>
      <w:sz w:val="24"/>
      <w:szCs w:val="26"/>
    </w:rPr>
  </w:style>
  <w:style w:type="paragraph" w:styleId="Heading3">
    <w:name w:val="heading 3"/>
    <w:basedOn w:val="Normal"/>
    <w:next w:val="Normal"/>
    <w:link w:val="Heading3Char"/>
    <w:uiPriority w:val="9"/>
    <w:qFormat/>
    <w:rsid w:val="00700A0A"/>
    <w:pPr>
      <w:keepNext/>
      <w:keepLines/>
      <w:spacing w:after="108"/>
      <w:outlineLvl w:val="2"/>
    </w:pPr>
    <w:rPr>
      <w:rFonts w:eastAsia="MingLiU"/>
      <w:bCs/>
      <w:color w:val="0098DE"/>
    </w:rPr>
  </w:style>
  <w:style w:type="paragraph" w:styleId="Heading4">
    <w:name w:val="heading 4"/>
    <w:basedOn w:val="Normal"/>
    <w:next w:val="Normal"/>
    <w:link w:val="Heading4Char"/>
    <w:uiPriority w:val="9"/>
    <w:semiHidden/>
    <w:qFormat/>
    <w:rsid w:val="00255D53"/>
    <w:pPr>
      <w:keepNext/>
      <w:keepLines/>
      <w:tabs>
        <w:tab w:val="left" w:pos="340"/>
      </w:tabs>
      <w:outlineLvl w:val="3"/>
    </w:pPr>
    <w:rPr>
      <w:rFonts w:ascii="Aleo" w:eastAsia="MingLiU" w:hAnsi="Aleo"/>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329D"/>
    <w:rPr>
      <w:rFonts w:eastAsia="MingLiU" w:cs="Times New Roman"/>
      <w:bCs/>
      <w:color w:val="0098DE"/>
      <w:sz w:val="32"/>
      <w:szCs w:val="28"/>
    </w:rPr>
  </w:style>
  <w:style w:type="character" w:customStyle="1" w:styleId="Heading2Char">
    <w:name w:val="Heading 2 Char"/>
    <w:link w:val="Heading2"/>
    <w:uiPriority w:val="9"/>
    <w:rsid w:val="007924D8"/>
    <w:rPr>
      <w:rFonts w:ascii="Open Sans SemiBold" w:eastAsia="MingLiU" w:hAnsi="Open Sans SemiBold" w:cs="Times New Roman"/>
      <w:bCs/>
      <w:color w:val="0098DE"/>
      <w:szCs w:val="26"/>
    </w:rPr>
  </w:style>
  <w:style w:type="table" w:styleId="TableGrid">
    <w:name w:val="Table Grid"/>
    <w:basedOn w:val="TableNormal"/>
    <w:uiPriority w:val="59"/>
    <w:rsid w:val="00025E7D"/>
    <w:tblPr/>
  </w:style>
  <w:style w:type="paragraph" w:styleId="Header">
    <w:name w:val="header"/>
    <w:link w:val="HeaderChar"/>
    <w:uiPriority w:val="99"/>
    <w:rsid w:val="00757C99"/>
    <w:pPr>
      <w:tabs>
        <w:tab w:val="center" w:pos="4513"/>
        <w:tab w:val="right" w:pos="9026"/>
      </w:tabs>
      <w:spacing w:line="180" w:lineRule="atLeast"/>
    </w:pPr>
    <w:rPr>
      <w:sz w:val="14"/>
      <w:szCs w:val="24"/>
      <w:lang w:val="en-GB"/>
    </w:rPr>
  </w:style>
  <w:style w:type="character" w:customStyle="1" w:styleId="HeaderChar">
    <w:name w:val="Header Char"/>
    <w:link w:val="Header"/>
    <w:uiPriority w:val="99"/>
    <w:rsid w:val="00757C99"/>
    <w:rPr>
      <w:sz w:val="14"/>
    </w:rPr>
  </w:style>
  <w:style w:type="paragraph" w:styleId="Footer">
    <w:name w:val="footer"/>
    <w:link w:val="FooterChar"/>
    <w:uiPriority w:val="99"/>
    <w:rsid w:val="00566858"/>
    <w:pPr>
      <w:tabs>
        <w:tab w:val="left" w:pos="284"/>
        <w:tab w:val="right" w:pos="7371"/>
      </w:tabs>
      <w:spacing w:line="200" w:lineRule="atLeast"/>
    </w:pPr>
    <w:rPr>
      <w:color w:val="061D41"/>
      <w:sz w:val="16"/>
      <w:szCs w:val="24"/>
      <w:lang w:val="en-GB"/>
    </w:rPr>
  </w:style>
  <w:style w:type="character" w:customStyle="1" w:styleId="FooterChar">
    <w:name w:val="Footer Char"/>
    <w:link w:val="Footer"/>
    <w:uiPriority w:val="99"/>
    <w:rsid w:val="00566858"/>
    <w:rPr>
      <w:color w:val="061D41"/>
      <w:sz w:val="16"/>
    </w:rPr>
  </w:style>
  <w:style w:type="paragraph" w:styleId="BalloonText">
    <w:name w:val="Balloon Text"/>
    <w:basedOn w:val="Normal"/>
    <w:link w:val="BalloonTextChar"/>
    <w:uiPriority w:val="99"/>
    <w:semiHidden/>
    <w:rsid w:val="00C702C7"/>
    <w:rPr>
      <w:rFonts w:ascii="Tahoma" w:hAnsi="Tahoma" w:cs="Tahoma"/>
      <w:sz w:val="16"/>
      <w:szCs w:val="16"/>
    </w:rPr>
  </w:style>
  <w:style w:type="character" w:customStyle="1" w:styleId="BalloonTextChar">
    <w:name w:val="Balloon Text Char"/>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uiPriority w:val="99"/>
    <w:semiHidden/>
    <w:rsid w:val="001975EF"/>
    <w:rPr>
      <w:color w:val="808080"/>
    </w:rPr>
  </w:style>
  <w:style w:type="paragraph" w:styleId="ListBullet">
    <w:name w:val="List Bullet"/>
    <w:basedOn w:val="Normal"/>
    <w:uiPriority w:val="99"/>
    <w:qFormat/>
    <w:rsid w:val="0074606B"/>
    <w:pPr>
      <w:numPr>
        <w:numId w:val="1"/>
      </w:numPr>
      <w:tabs>
        <w:tab w:val="clear" w:pos="360"/>
      </w:tabs>
      <w:ind w:left="340" w:hanging="340"/>
    </w:pPr>
  </w:style>
  <w:style w:type="paragraph" w:styleId="ListBullet2">
    <w:name w:val="List Bullet 2"/>
    <w:basedOn w:val="Normal"/>
    <w:uiPriority w:val="99"/>
    <w:qFormat/>
    <w:rsid w:val="0074606B"/>
    <w:pPr>
      <w:numPr>
        <w:numId w:val="2"/>
      </w:numPr>
      <w:ind w:left="680" w:hanging="340"/>
    </w:pPr>
  </w:style>
  <w:style w:type="paragraph" w:styleId="ListNumber">
    <w:name w:val="List Number"/>
    <w:basedOn w:val="Normal"/>
    <w:uiPriority w:val="99"/>
    <w:qFormat/>
    <w:rsid w:val="00001896"/>
    <w:pPr>
      <w:numPr>
        <w:numId w:val="3"/>
      </w:numPr>
      <w:ind w:left="340" w:hanging="340"/>
    </w:pPr>
  </w:style>
  <w:style w:type="paragraph" w:styleId="ListNumber2">
    <w:name w:val="List Number 2"/>
    <w:basedOn w:val="Normal"/>
    <w:uiPriority w:val="99"/>
    <w:qFormat/>
    <w:rsid w:val="0074606B"/>
    <w:pPr>
      <w:numPr>
        <w:numId w:val="4"/>
      </w:numPr>
      <w:ind w:left="680" w:hanging="340"/>
    </w:pPr>
  </w:style>
  <w:style w:type="character" w:customStyle="1" w:styleId="Heading3Char">
    <w:name w:val="Heading 3 Char"/>
    <w:link w:val="Heading3"/>
    <w:uiPriority w:val="9"/>
    <w:rsid w:val="00700A0A"/>
    <w:rPr>
      <w:rFonts w:ascii="Open Sans Light" w:eastAsia="MingLiU" w:hAnsi="Open Sans Light" w:cs="Times New Roman"/>
      <w:bCs/>
      <w:color w:val="0098DE"/>
      <w:sz w:val="18"/>
    </w:rPr>
  </w:style>
  <w:style w:type="character" w:customStyle="1" w:styleId="Heading4Char">
    <w:name w:val="Heading 4 Char"/>
    <w:link w:val="Heading4"/>
    <w:uiPriority w:val="9"/>
    <w:semiHidden/>
    <w:rsid w:val="00C8703B"/>
    <w:rPr>
      <w:rFonts w:ascii="Aleo" w:eastAsia="MingLiU" w:hAnsi="Aleo" w:cs="Times New Roman"/>
      <w:b/>
      <w:bCs/>
      <w:iCs/>
      <w:color w:val="000000"/>
    </w:rPr>
  </w:style>
  <w:style w:type="paragraph" w:styleId="FootnoteText">
    <w:name w:val="footnote text"/>
    <w:basedOn w:val="Normal"/>
    <w:link w:val="FootnoteTextChar"/>
    <w:uiPriority w:val="99"/>
    <w:rsid w:val="00F3081C"/>
    <w:rPr>
      <w:sz w:val="16"/>
      <w:szCs w:val="20"/>
    </w:rPr>
  </w:style>
  <w:style w:type="character" w:customStyle="1" w:styleId="FootnoteTextChar">
    <w:name w:val="Footnote Text Char"/>
    <w:link w:val="FootnoteText"/>
    <w:uiPriority w:val="99"/>
    <w:rsid w:val="00C8703B"/>
    <w:rPr>
      <w:sz w:val="16"/>
      <w:szCs w:val="20"/>
    </w:rPr>
  </w:style>
  <w:style w:type="paragraph" w:customStyle="1" w:styleId="Documenttitle">
    <w:name w:val="Document title"/>
    <w:next w:val="Normal"/>
    <w:qFormat/>
    <w:rsid w:val="004F61F1"/>
    <w:pPr>
      <w:spacing w:after="510"/>
    </w:pPr>
    <w:rPr>
      <w:rFonts w:ascii="Aleo" w:eastAsia="MingLiU" w:hAnsi="Aleo"/>
      <w:bCs/>
      <w:color w:val="0098DE"/>
      <w:sz w:val="60"/>
      <w:szCs w:val="28"/>
      <w:lang w:val="en-GB"/>
    </w:rPr>
  </w:style>
  <w:style w:type="paragraph" w:customStyle="1" w:styleId="Subheading">
    <w:name w:val="Subheading"/>
    <w:basedOn w:val="Normal"/>
    <w:next w:val="Normal"/>
    <w:semiHidden/>
    <w:qFormat/>
    <w:rsid w:val="00D236E8"/>
    <w:rPr>
      <w:rFonts w:ascii="Aleo" w:eastAsia="MingLiU" w:hAnsi="Aleo"/>
      <w:b/>
      <w:bCs/>
      <w:iCs/>
      <w:color w:val="000000"/>
    </w:rPr>
  </w:style>
  <w:style w:type="character" w:styleId="FootnoteReference">
    <w:name w:val="footnote reference"/>
    <w:uiPriority w:val="99"/>
    <w:semiHidden/>
    <w:rsid w:val="00412EA0"/>
    <w:rPr>
      <w:vertAlign w:val="superscript"/>
    </w:rPr>
  </w:style>
  <w:style w:type="paragraph" w:customStyle="1" w:styleId="TableBullet">
    <w:name w:val="Table Bullet"/>
    <w:basedOn w:val="Normal"/>
    <w:qFormat/>
    <w:rsid w:val="0024795D"/>
    <w:pPr>
      <w:numPr>
        <w:numId w:val="19"/>
      </w:numPr>
      <w:spacing w:after="0"/>
      <w:ind w:left="170" w:hanging="170"/>
    </w:pPr>
  </w:style>
  <w:style w:type="paragraph" w:customStyle="1" w:styleId="TableHeading">
    <w:name w:val="Table Heading"/>
    <w:basedOn w:val="Heading2"/>
    <w:qFormat/>
    <w:rsid w:val="004F61F1"/>
    <w:pPr>
      <w:spacing w:after="0"/>
    </w:pPr>
  </w:style>
  <w:style w:type="paragraph" w:customStyle="1" w:styleId="TableText">
    <w:name w:val="Table Text"/>
    <w:basedOn w:val="Normal"/>
    <w:qFormat/>
    <w:rsid w:val="0024795D"/>
    <w:pPr>
      <w:spacing w:after="0"/>
    </w:pPr>
  </w:style>
  <w:style w:type="character" w:styleId="Hyperlink">
    <w:name w:val="Hyperlink"/>
    <w:basedOn w:val="DefaultParagraphFont"/>
    <w:uiPriority w:val="99"/>
    <w:unhideWhenUsed/>
    <w:rsid w:val="007B2DD3"/>
    <w:rPr>
      <w:color w:val="0563C1" w:themeColor="hyperlink"/>
      <w:u w:val="single"/>
    </w:rPr>
  </w:style>
  <w:style w:type="paragraph" w:styleId="EndnoteText">
    <w:name w:val="endnote text"/>
    <w:basedOn w:val="Normal"/>
    <w:link w:val="EndnoteTextChar"/>
    <w:uiPriority w:val="99"/>
    <w:semiHidden/>
    <w:unhideWhenUsed/>
    <w:rsid w:val="007B2DD3"/>
    <w:pPr>
      <w:spacing w:after="0" w:line="240" w:lineRule="auto"/>
    </w:pPr>
    <w:rPr>
      <w:rFonts w:asciiTheme="minorHAnsi" w:hAnsiTheme="minorHAnsi" w:cstheme="minorBidi"/>
      <w:sz w:val="20"/>
      <w:szCs w:val="20"/>
      <w:lang w:val="en-SG" w:eastAsia="en-US"/>
    </w:rPr>
  </w:style>
  <w:style w:type="character" w:customStyle="1" w:styleId="EndnoteTextChar">
    <w:name w:val="Endnote Text Char"/>
    <w:basedOn w:val="DefaultParagraphFont"/>
    <w:link w:val="EndnoteText"/>
    <w:uiPriority w:val="99"/>
    <w:semiHidden/>
    <w:rsid w:val="007B2DD3"/>
    <w:rPr>
      <w:rFonts w:asciiTheme="minorHAnsi" w:hAnsiTheme="minorHAnsi" w:cstheme="minorBidi"/>
      <w:lang w:val="en-SG" w:eastAsia="en-US"/>
    </w:rPr>
  </w:style>
  <w:style w:type="character" w:styleId="EndnoteReference">
    <w:name w:val="endnote reference"/>
    <w:basedOn w:val="DefaultParagraphFont"/>
    <w:uiPriority w:val="99"/>
    <w:semiHidden/>
    <w:unhideWhenUsed/>
    <w:rsid w:val="007B2DD3"/>
    <w:rPr>
      <w:vertAlign w:val="superscript"/>
    </w:rPr>
  </w:style>
  <w:style w:type="character" w:styleId="CommentReference">
    <w:name w:val="annotation reference"/>
    <w:basedOn w:val="DefaultParagraphFont"/>
    <w:uiPriority w:val="99"/>
    <w:semiHidden/>
    <w:unhideWhenUsed/>
    <w:rsid w:val="007B2DD3"/>
    <w:rPr>
      <w:sz w:val="16"/>
      <w:szCs w:val="16"/>
    </w:rPr>
  </w:style>
  <w:style w:type="paragraph" w:styleId="NormalWeb">
    <w:name w:val="Normal (Web)"/>
    <w:basedOn w:val="Normal"/>
    <w:uiPriority w:val="99"/>
    <w:semiHidden/>
    <w:unhideWhenUsed/>
    <w:rsid w:val="007B2DD3"/>
    <w:pPr>
      <w:spacing w:before="100" w:beforeAutospacing="1" w:after="100" w:afterAutospacing="1" w:line="240" w:lineRule="auto"/>
    </w:pPr>
    <w:rPr>
      <w:rFonts w:ascii="Times New Roman" w:eastAsia="Times New Roman" w:hAnsi="Times New Roman"/>
      <w:sz w:val="24"/>
      <w:lang w:val="en-US"/>
    </w:rPr>
  </w:style>
  <w:style w:type="paragraph" w:styleId="ListParagraph">
    <w:name w:val="List Paragraph"/>
    <w:basedOn w:val="Normal"/>
    <w:uiPriority w:val="34"/>
    <w:semiHidden/>
    <w:qFormat/>
    <w:rsid w:val="007B2DD3"/>
    <w:pPr>
      <w:ind w:left="720"/>
      <w:contextualSpacing/>
    </w:pPr>
  </w:style>
  <w:style w:type="character" w:styleId="UnresolvedMention">
    <w:name w:val="Unresolved Mention"/>
    <w:basedOn w:val="DefaultParagraphFont"/>
    <w:uiPriority w:val="99"/>
    <w:semiHidden/>
    <w:unhideWhenUsed/>
    <w:rsid w:val="007B2DD3"/>
    <w:rPr>
      <w:color w:val="605E5C"/>
      <w:shd w:val="clear" w:color="auto" w:fill="E1DFDD"/>
    </w:rPr>
  </w:style>
  <w:style w:type="paragraph" w:styleId="CommentText">
    <w:name w:val="annotation text"/>
    <w:basedOn w:val="Normal"/>
    <w:link w:val="CommentTextChar"/>
    <w:uiPriority w:val="99"/>
    <w:semiHidden/>
    <w:rsid w:val="006503F7"/>
    <w:pPr>
      <w:spacing w:line="240" w:lineRule="auto"/>
    </w:pPr>
    <w:rPr>
      <w:sz w:val="20"/>
      <w:szCs w:val="20"/>
    </w:rPr>
  </w:style>
  <w:style w:type="character" w:customStyle="1" w:styleId="CommentTextChar">
    <w:name w:val="Comment Text Char"/>
    <w:basedOn w:val="DefaultParagraphFont"/>
    <w:link w:val="CommentText"/>
    <w:uiPriority w:val="99"/>
    <w:semiHidden/>
    <w:rsid w:val="006503F7"/>
    <w:rPr>
      <w:lang w:val="en-GB"/>
    </w:rPr>
  </w:style>
  <w:style w:type="paragraph" w:styleId="CommentSubject">
    <w:name w:val="annotation subject"/>
    <w:basedOn w:val="CommentText"/>
    <w:next w:val="CommentText"/>
    <w:link w:val="CommentSubjectChar"/>
    <w:uiPriority w:val="99"/>
    <w:semiHidden/>
    <w:rsid w:val="006503F7"/>
    <w:rPr>
      <w:b/>
      <w:bCs/>
    </w:rPr>
  </w:style>
  <w:style w:type="character" w:customStyle="1" w:styleId="CommentSubjectChar">
    <w:name w:val="Comment Subject Char"/>
    <w:basedOn w:val="CommentTextChar"/>
    <w:link w:val="CommentSubject"/>
    <w:uiPriority w:val="99"/>
    <w:semiHidden/>
    <w:rsid w:val="006503F7"/>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378019069">
      <w:bodyDiv w:val="1"/>
      <w:marLeft w:val="0"/>
      <w:marRight w:val="0"/>
      <w:marTop w:val="0"/>
      <w:marBottom w:val="0"/>
      <w:divBdr>
        <w:top w:val="none" w:sz="0" w:space="0" w:color="auto"/>
        <w:left w:val="none" w:sz="0" w:space="0" w:color="auto"/>
        <w:bottom w:val="none" w:sz="0" w:space="0" w:color="auto"/>
        <w:right w:val="none" w:sz="0" w:space="0" w:color="auto"/>
      </w:divBdr>
    </w:div>
    <w:div w:id="991299460">
      <w:bodyDiv w:val="1"/>
      <w:marLeft w:val="0"/>
      <w:marRight w:val="0"/>
      <w:marTop w:val="0"/>
      <w:marBottom w:val="0"/>
      <w:divBdr>
        <w:top w:val="none" w:sz="0" w:space="0" w:color="auto"/>
        <w:left w:val="none" w:sz="0" w:space="0" w:color="auto"/>
        <w:bottom w:val="none" w:sz="0" w:space="0" w:color="auto"/>
        <w:right w:val="none" w:sz="0" w:space="0" w:color="auto"/>
      </w:divBdr>
    </w:div>
    <w:div w:id="10912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dMuvKODn6FfcmJciWSMkTkkV-XbPIzrR/view?usp=shar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eo@pinpointpr.s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rmahealthandnutrition.flywheelsite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vitafoodsasia.com" TargetMode="External"/><Relationship Id="rId4" Type="http://schemas.openxmlformats.org/officeDocument/2006/relationships/settings" Target="settings.xml"/><Relationship Id="rId9" Type="http://schemas.openxmlformats.org/officeDocument/2006/relationships/hyperlink" Target="www.vitafoodsasia.com"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www.nutraingredients-asia.com/Article/2018/12/17/Five-trends-that-will-shape-APAC-s-nutraceutical-and-supplements-industry-in-2019" TargetMode="External"/><Relationship Id="rId1" Type="http://schemas.openxmlformats.org/officeDocument/2006/relationships/hyperlink" Target="https://www.nutraceuticalsworld.com/issues/2018-11/view_features/key-trends-in-functional-foods-beverages-for-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L\Downloads\memorandum-19%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DE9AA-7445-45C9-AA4D-3736E60B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memorandum-19 (1)</Template>
  <TotalTime>7</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Lisa</dc:creator>
  <cp:keywords/>
  <dc:description/>
  <cp:lastModifiedBy>User</cp:lastModifiedBy>
  <cp:revision>4</cp:revision>
  <cp:lastPrinted>2015-03-11T02:16:00Z</cp:lastPrinted>
  <dcterms:created xsi:type="dcterms:W3CDTF">2019-05-22T11:13:00Z</dcterms:created>
  <dcterms:modified xsi:type="dcterms:W3CDTF">2019-05-23T02:25:00Z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1c070e-054b-4d1c-ba4c-fc70b099192e_Enabled">
    <vt:lpwstr>True</vt:lpwstr>
  </property>
  <property fmtid="{D5CDD505-2E9C-101B-9397-08002B2CF9AE}" pid="3" name="MSIP_Label_181c070e-054b-4d1c-ba4c-fc70b099192e_SiteId">
    <vt:lpwstr>2567d566-604c-408a-8a60-55d0dc9d9d6b</vt:lpwstr>
  </property>
  <property fmtid="{D5CDD505-2E9C-101B-9397-08002B2CF9AE}" pid="4" name="MSIP_Label_181c070e-054b-4d1c-ba4c-fc70b099192e_Owner">
    <vt:lpwstr>Jason.Thompson@informa.com</vt:lpwstr>
  </property>
  <property fmtid="{D5CDD505-2E9C-101B-9397-08002B2CF9AE}" pid="5" name="MSIP_Label_181c070e-054b-4d1c-ba4c-fc70b099192e_SetDate">
    <vt:lpwstr>2019-04-08T15:40:11.3505418Z</vt:lpwstr>
  </property>
  <property fmtid="{D5CDD505-2E9C-101B-9397-08002B2CF9AE}" pid="6" name="MSIP_Label_181c070e-054b-4d1c-ba4c-fc70b099192e_Name">
    <vt:lpwstr>General</vt:lpwstr>
  </property>
  <property fmtid="{D5CDD505-2E9C-101B-9397-08002B2CF9AE}" pid="7" name="MSIP_Label_181c070e-054b-4d1c-ba4c-fc70b099192e_Application">
    <vt:lpwstr>Microsoft Azure Information Protection</vt:lpwstr>
  </property>
  <property fmtid="{D5CDD505-2E9C-101B-9397-08002B2CF9AE}" pid="8" name="MSIP_Label_181c070e-054b-4d1c-ba4c-fc70b099192e_Extended_MSFT_Method">
    <vt:lpwstr>Automatic</vt:lpwstr>
  </property>
  <property fmtid="{D5CDD505-2E9C-101B-9397-08002B2CF9AE}" pid="9" name="MSIP_Label_2bbab825-a111-45e4-86a1-18cee0005896_Enabled">
    <vt:lpwstr>True</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Owner">
    <vt:lpwstr>Jason.Thompson@informa.com</vt:lpwstr>
  </property>
  <property fmtid="{D5CDD505-2E9C-101B-9397-08002B2CF9AE}" pid="12" name="MSIP_Label_2bbab825-a111-45e4-86a1-18cee0005896_SetDate">
    <vt:lpwstr>2019-04-08T15:40:11.3505418Z</vt:lpwstr>
  </property>
  <property fmtid="{D5CDD505-2E9C-101B-9397-08002B2CF9AE}" pid="13" name="MSIP_Label_2bbab825-a111-45e4-86a1-18cee0005896_Name">
    <vt:lpwstr>Un-restricted</vt:lpwstr>
  </property>
  <property fmtid="{D5CDD505-2E9C-101B-9397-08002B2CF9AE}" pid="14" name="MSIP_Label_2bbab825-a111-45e4-86a1-18cee0005896_Application">
    <vt:lpwstr>Microsoft Azure Information Protection</vt:lpwstr>
  </property>
  <property fmtid="{D5CDD505-2E9C-101B-9397-08002B2CF9AE}" pid="15" name="MSIP_Label_2bbab825-a111-45e4-86a1-18cee0005896_Parent">
    <vt:lpwstr>181c070e-054b-4d1c-ba4c-fc70b099192e</vt:lpwstr>
  </property>
  <property fmtid="{D5CDD505-2E9C-101B-9397-08002B2CF9AE}" pid="16" name="MSIP_Label_2bbab825-a111-45e4-86a1-18cee0005896_Extended_MSFT_Method">
    <vt:lpwstr>Automatic</vt:lpwstr>
  </property>
  <property fmtid="{D5CDD505-2E9C-101B-9397-08002B2CF9AE}" pid="17" name="Sensitivity">
    <vt:lpwstr>General Un-restricted</vt:lpwstr>
  </property>
</Properties>
</file>