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0CA5D" w14:textId="77777777" w:rsidR="00386B70" w:rsidRPr="00034AB4" w:rsidRDefault="00034AB4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2015-års bästa budgetdestinationer</w:t>
      </w:r>
    </w:p>
    <w:p w14:paraId="1BB01BBE" w14:textId="77777777" w:rsidR="0001617B" w:rsidRPr="00034AB4" w:rsidRDefault="0001617B">
      <w:pPr>
        <w:rPr>
          <w:rFonts w:ascii="Century Gothic" w:hAnsi="Century Gothic"/>
        </w:rPr>
      </w:pPr>
    </w:p>
    <w:p w14:paraId="053100A9" w14:textId="048CA896" w:rsidR="006A1E96" w:rsidRDefault="0001617B">
      <w:pPr>
        <w:rPr>
          <w:rFonts w:ascii="Century Gothic" w:hAnsi="Century Gothic"/>
          <w:b/>
          <w:sz w:val="22"/>
          <w:szCs w:val="22"/>
        </w:rPr>
      </w:pPr>
      <w:r w:rsidRPr="00034AB4">
        <w:rPr>
          <w:rFonts w:ascii="Century Gothic" w:hAnsi="Century Gothic"/>
          <w:b/>
          <w:sz w:val="22"/>
          <w:szCs w:val="22"/>
        </w:rPr>
        <w:t xml:space="preserve">Resesöksajten </w:t>
      </w:r>
      <w:hyperlink r:id="rId10" w:history="1">
        <w:r w:rsidRPr="00034AB4">
          <w:rPr>
            <w:rStyle w:val="Hyperlnk"/>
            <w:rFonts w:ascii="Century Gothic" w:hAnsi="Century Gothic"/>
            <w:b/>
            <w:sz w:val="22"/>
            <w:szCs w:val="22"/>
          </w:rPr>
          <w:t>momondo</w:t>
        </w:r>
      </w:hyperlink>
      <w:r w:rsidR="00404AF4" w:rsidRPr="00034AB4">
        <w:rPr>
          <w:rFonts w:ascii="Century Gothic" w:hAnsi="Century Gothic"/>
          <w:b/>
          <w:sz w:val="22"/>
          <w:szCs w:val="22"/>
        </w:rPr>
        <w:t xml:space="preserve"> har listat </w:t>
      </w:r>
      <w:r w:rsidR="00297F3C">
        <w:rPr>
          <w:rFonts w:ascii="Century Gothic" w:hAnsi="Century Gothic"/>
          <w:b/>
          <w:sz w:val="22"/>
          <w:szCs w:val="22"/>
        </w:rPr>
        <w:t xml:space="preserve">de </w:t>
      </w:r>
      <w:r w:rsidR="00404AF4" w:rsidRPr="00034AB4">
        <w:rPr>
          <w:rFonts w:ascii="Century Gothic" w:hAnsi="Century Gothic"/>
          <w:b/>
          <w:sz w:val="22"/>
          <w:szCs w:val="22"/>
        </w:rPr>
        <w:t>tolv</w:t>
      </w:r>
      <w:r w:rsidRPr="00034AB4">
        <w:rPr>
          <w:rFonts w:ascii="Century Gothic" w:hAnsi="Century Gothic"/>
          <w:b/>
          <w:sz w:val="22"/>
          <w:szCs w:val="22"/>
        </w:rPr>
        <w:t xml:space="preserve"> </w:t>
      </w:r>
      <w:r w:rsidR="00034AB4" w:rsidRPr="00034AB4">
        <w:rPr>
          <w:rFonts w:ascii="Century Gothic" w:hAnsi="Century Gothic"/>
          <w:b/>
          <w:sz w:val="22"/>
          <w:szCs w:val="22"/>
        </w:rPr>
        <w:t xml:space="preserve">mest </w:t>
      </w:r>
      <w:r w:rsidRPr="00034AB4">
        <w:rPr>
          <w:rFonts w:ascii="Century Gothic" w:hAnsi="Century Gothic"/>
          <w:b/>
          <w:sz w:val="22"/>
          <w:szCs w:val="22"/>
        </w:rPr>
        <w:t>prisvärda resmål</w:t>
      </w:r>
      <w:r w:rsidR="00034AB4" w:rsidRPr="00034AB4">
        <w:rPr>
          <w:rFonts w:ascii="Century Gothic" w:hAnsi="Century Gothic"/>
          <w:b/>
          <w:sz w:val="22"/>
          <w:szCs w:val="22"/>
        </w:rPr>
        <w:t>en</w:t>
      </w:r>
      <w:r w:rsidR="006969A1">
        <w:rPr>
          <w:rFonts w:ascii="Century Gothic" w:hAnsi="Century Gothic"/>
          <w:b/>
          <w:sz w:val="22"/>
          <w:szCs w:val="22"/>
        </w:rPr>
        <w:t xml:space="preserve"> i världen</w:t>
      </w:r>
      <w:r w:rsidRPr="00034AB4">
        <w:rPr>
          <w:rFonts w:ascii="Century Gothic" w:hAnsi="Century Gothic"/>
          <w:b/>
          <w:sz w:val="22"/>
          <w:szCs w:val="22"/>
        </w:rPr>
        <w:t xml:space="preserve">, en för varje månad </w:t>
      </w:r>
      <w:r w:rsidR="00073E54" w:rsidRPr="00034AB4">
        <w:rPr>
          <w:rFonts w:ascii="Century Gothic" w:hAnsi="Century Gothic"/>
          <w:b/>
          <w:sz w:val="22"/>
          <w:szCs w:val="22"/>
        </w:rPr>
        <w:t>på</w:t>
      </w:r>
      <w:r w:rsidRPr="00034AB4">
        <w:rPr>
          <w:rFonts w:ascii="Century Gothic" w:hAnsi="Century Gothic"/>
          <w:b/>
          <w:sz w:val="22"/>
          <w:szCs w:val="22"/>
        </w:rPr>
        <w:t xml:space="preserve"> det nya året. </w:t>
      </w:r>
      <w:r w:rsidR="006A1E96">
        <w:rPr>
          <w:rFonts w:ascii="Century Gothic" w:hAnsi="Century Gothic"/>
          <w:b/>
          <w:sz w:val="22"/>
          <w:szCs w:val="22"/>
        </w:rPr>
        <w:t>I städer som Phnom Penh, Lima och Budapest räcker budgeten längst men sa</w:t>
      </w:r>
      <w:r w:rsidR="00297F3C">
        <w:rPr>
          <w:rFonts w:ascii="Century Gothic" w:hAnsi="Century Gothic"/>
          <w:b/>
          <w:sz w:val="22"/>
          <w:szCs w:val="22"/>
        </w:rPr>
        <w:t xml:space="preserve">mtliga destinationer </w:t>
      </w:r>
      <w:r w:rsidR="00412F35">
        <w:rPr>
          <w:rFonts w:ascii="Century Gothic" w:hAnsi="Century Gothic"/>
          <w:b/>
          <w:sz w:val="22"/>
          <w:szCs w:val="22"/>
        </w:rPr>
        <w:t xml:space="preserve">på listan </w:t>
      </w:r>
      <w:r w:rsidR="00157D9E">
        <w:rPr>
          <w:rFonts w:ascii="Century Gothic" w:hAnsi="Century Gothic"/>
          <w:b/>
          <w:sz w:val="22"/>
          <w:szCs w:val="22"/>
        </w:rPr>
        <w:t xml:space="preserve">ger </w:t>
      </w:r>
      <w:r w:rsidR="006A1E96">
        <w:rPr>
          <w:rFonts w:ascii="Century Gothic" w:hAnsi="Century Gothic"/>
          <w:b/>
          <w:sz w:val="22"/>
          <w:szCs w:val="22"/>
        </w:rPr>
        <w:t xml:space="preserve">upplevelse </w:t>
      </w:r>
      <w:r w:rsidR="00412F35">
        <w:rPr>
          <w:rFonts w:ascii="Century Gothic" w:hAnsi="Century Gothic"/>
          <w:b/>
          <w:sz w:val="22"/>
          <w:szCs w:val="22"/>
        </w:rPr>
        <w:t xml:space="preserve">till </w:t>
      </w:r>
      <w:r w:rsidR="007D2750">
        <w:rPr>
          <w:rFonts w:ascii="Century Gothic" w:hAnsi="Century Gothic"/>
          <w:b/>
          <w:sz w:val="22"/>
          <w:szCs w:val="22"/>
        </w:rPr>
        <w:t xml:space="preserve">ett </w:t>
      </w:r>
      <w:r w:rsidR="00412F35">
        <w:rPr>
          <w:rFonts w:ascii="Century Gothic" w:hAnsi="Century Gothic"/>
          <w:b/>
          <w:sz w:val="22"/>
          <w:szCs w:val="22"/>
        </w:rPr>
        <w:t>låg</w:t>
      </w:r>
      <w:r w:rsidR="007D2750">
        <w:rPr>
          <w:rFonts w:ascii="Century Gothic" w:hAnsi="Century Gothic"/>
          <w:b/>
          <w:sz w:val="22"/>
          <w:szCs w:val="22"/>
        </w:rPr>
        <w:t xml:space="preserve">t </w:t>
      </w:r>
      <w:r w:rsidR="00412F35">
        <w:rPr>
          <w:rFonts w:ascii="Century Gothic" w:hAnsi="Century Gothic"/>
          <w:b/>
          <w:sz w:val="22"/>
          <w:szCs w:val="22"/>
        </w:rPr>
        <w:t>p</w:t>
      </w:r>
      <w:r w:rsidR="006A1E96">
        <w:rPr>
          <w:rFonts w:ascii="Century Gothic" w:hAnsi="Century Gothic"/>
          <w:b/>
          <w:sz w:val="22"/>
          <w:szCs w:val="22"/>
        </w:rPr>
        <w:t xml:space="preserve">ris. </w:t>
      </w:r>
    </w:p>
    <w:p w14:paraId="7D6C3CAD" w14:textId="77777777" w:rsidR="00297F3C" w:rsidRDefault="00297F3C">
      <w:pPr>
        <w:rPr>
          <w:rFonts w:ascii="Century Gothic" w:hAnsi="Century Gothic"/>
          <w:b/>
          <w:sz w:val="22"/>
          <w:szCs w:val="22"/>
        </w:rPr>
      </w:pPr>
    </w:p>
    <w:p w14:paraId="7CF7E8A1" w14:textId="47FE2E79" w:rsidR="004B4763" w:rsidRPr="00034AB4" w:rsidRDefault="004B4763" w:rsidP="004B4763">
      <w:pPr>
        <w:rPr>
          <w:rFonts w:ascii="Century Gothic" w:hAnsi="Century Gothic"/>
        </w:rPr>
      </w:pPr>
      <w:r w:rsidRPr="00034AB4">
        <w:rPr>
          <w:rFonts w:ascii="Century Gothic" w:eastAsia="Times New Roman" w:hAnsi="Century Gothic" w:cs="Gisha"/>
          <w:noProof/>
          <w:color w:val="333333"/>
          <w:sz w:val="19"/>
          <w:szCs w:val="19"/>
        </w:rPr>
        <w:drawing>
          <wp:inline distT="0" distB="0" distL="0" distR="0" wp14:anchorId="30C11531" wp14:editId="77837453">
            <wp:extent cx="1826895" cy="1175755"/>
            <wp:effectExtent l="0" t="0" r="1905" b="0"/>
            <wp:docPr id="32" name="Picture 32" descr="A young boy runs past one of Lima's many graffiti mura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 young boy runs past one of Lima's many graffiti mural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69" cy="118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34AB4">
        <w:rPr>
          <w:rFonts w:ascii="Century Gothic" w:eastAsia="Times New Roman" w:hAnsi="Century Gothic" w:cs="Gisha"/>
          <w:noProof/>
          <w:color w:val="333333"/>
          <w:sz w:val="19"/>
          <w:szCs w:val="19"/>
        </w:rPr>
        <w:drawing>
          <wp:inline distT="0" distB="0" distL="0" distR="0" wp14:anchorId="370C2327" wp14:editId="12BC129F">
            <wp:extent cx="1788112" cy="1163320"/>
            <wp:effectExtent l="0" t="0" r="0" b="5080"/>
            <wp:docPr id="27" name="Picture 27" descr="Friends gather in a Budapest park to chat, while a ferris wheel spins th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riends gather in a Budapest park to chat, while a ferris wheel spins the background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71" cy="117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34AB4">
        <w:rPr>
          <w:rFonts w:ascii="Century Gothic" w:eastAsia="Times New Roman" w:hAnsi="Century Gothic" w:cs="Gisha"/>
          <w:noProof/>
          <w:color w:val="333333"/>
          <w:sz w:val="19"/>
          <w:szCs w:val="19"/>
        </w:rPr>
        <w:drawing>
          <wp:inline distT="0" distB="0" distL="0" distR="0" wp14:anchorId="7D49AAF9" wp14:editId="4B4A0EA4">
            <wp:extent cx="1826895" cy="1177849"/>
            <wp:effectExtent l="0" t="0" r="1905" b="0"/>
            <wp:docPr id="3" name="Picture 25" descr="A woman reads atop of the water rock formations and pools of Oaxa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 woman reads atop of the water rock formations and pools of Oaxaca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1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D4864" w14:textId="1DEEDAB8" w:rsidR="004B4763" w:rsidRDefault="004B4763" w:rsidP="004B476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t>Lima, Budapest och</w:t>
      </w:r>
      <w:r w:rsidR="007D2750">
        <w:rPr>
          <w:rFonts w:ascii="Century Gothic" w:hAnsi="Century Gothic"/>
          <w:sz w:val="16"/>
          <w:szCs w:val="16"/>
        </w:rPr>
        <w:t xml:space="preserve"> </w:t>
      </w:r>
      <w:r w:rsidR="007D2750" w:rsidRPr="007D2750">
        <w:rPr>
          <w:rFonts w:ascii="Century Gothic" w:hAnsi="Century Gothic"/>
          <w:sz w:val="16"/>
          <w:szCs w:val="16"/>
        </w:rPr>
        <w:t>Oaxaca</w:t>
      </w:r>
      <w:r w:rsidR="007D2750">
        <w:rPr>
          <w:rFonts w:ascii="Century Gothic" w:hAnsi="Century Gothic"/>
          <w:sz w:val="16"/>
          <w:szCs w:val="16"/>
        </w:rPr>
        <w:t xml:space="preserve"> är några av årets mest prisvärda resmål.</w:t>
      </w:r>
      <w:r w:rsidR="007D2750" w:rsidRPr="00A04C79">
        <w:rPr>
          <w:rFonts w:ascii="Century Gothic" w:hAnsi="Century Gothic"/>
          <w:sz w:val="16"/>
          <w:szCs w:val="16"/>
        </w:rPr>
        <w:t xml:space="preserve"> </w:t>
      </w:r>
      <w:r w:rsidRPr="00A04C79">
        <w:rPr>
          <w:rFonts w:ascii="Century Gothic" w:hAnsi="Century Gothic"/>
          <w:sz w:val="16"/>
          <w:szCs w:val="16"/>
        </w:rPr>
        <w:t>Foto</w:t>
      </w:r>
      <w:r w:rsidR="007D2750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7D2750">
        <w:rPr>
          <w:rFonts w:ascii="Century Gothic" w:hAnsi="Century Gothic"/>
          <w:sz w:val="16"/>
          <w:szCs w:val="16"/>
        </w:rPr>
        <w:t>fr.v</w:t>
      </w:r>
      <w:proofErr w:type="spellEnd"/>
      <w:r w:rsidRPr="00A04C79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="007D2750" w:rsidRPr="00034AB4">
        <w:rPr>
          <w:rFonts w:ascii="Century Gothic" w:hAnsi="Century Gothic"/>
          <w:sz w:val="16"/>
          <w:szCs w:val="16"/>
        </w:rPr>
        <w:t>Gauche</w:t>
      </w:r>
      <w:proofErr w:type="spellEnd"/>
      <w:r w:rsidR="007D2750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="007D2750" w:rsidRPr="00A04C79">
        <w:rPr>
          <w:rFonts w:ascii="Century Gothic" w:hAnsi="Century Gothic"/>
          <w:sz w:val="16"/>
          <w:szCs w:val="16"/>
        </w:rPr>
        <w:t>ddghu</w:t>
      </w:r>
      <w:proofErr w:type="spellEnd"/>
      <w:r w:rsidR="007D2750">
        <w:rPr>
          <w:rFonts w:ascii="Century Gothic" w:hAnsi="Century Gothic"/>
          <w:sz w:val="16"/>
          <w:szCs w:val="16"/>
        </w:rPr>
        <w:t xml:space="preserve">, </w:t>
      </w:r>
      <w:r w:rsidR="007D2750" w:rsidRPr="00A04C79">
        <w:rPr>
          <w:rFonts w:ascii="Century Gothic" w:hAnsi="Century Gothic"/>
          <w:sz w:val="16"/>
          <w:szCs w:val="16"/>
        </w:rPr>
        <w:t xml:space="preserve">Carlos </w:t>
      </w:r>
      <w:proofErr w:type="spellStart"/>
      <w:r w:rsidR="007D2750" w:rsidRPr="00A04C79">
        <w:rPr>
          <w:rFonts w:ascii="Century Gothic" w:hAnsi="Century Gothic"/>
          <w:sz w:val="16"/>
          <w:szCs w:val="16"/>
        </w:rPr>
        <w:t>Adampol</w:t>
      </w:r>
      <w:proofErr w:type="spellEnd"/>
      <w:r w:rsidR="007D2750">
        <w:rPr>
          <w:rFonts w:ascii="Century Gothic" w:hAnsi="Century Gothic"/>
          <w:sz w:val="16"/>
          <w:szCs w:val="16"/>
        </w:rPr>
        <w:t>.</w:t>
      </w:r>
    </w:p>
    <w:p w14:paraId="6F1DF7C8" w14:textId="77777777" w:rsidR="004B4763" w:rsidRPr="00617153" w:rsidRDefault="004B4763">
      <w:pPr>
        <w:rPr>
          <w:rFonts w:ascii="Century Gothic" w:hAnsi="Century Gothic"/>
          <w:b/>
          <w:sz w:val="22"/>
          <w:szCs w:val="22"/>
        </w:rPr>
      </w:pPr>
    </w:p>
    <w:p w14:paraId="69DCB6E0" w14:textId="56833077" w:rsidR="00157D9E" w:rsidRPr="00617153" w:rsidRDefault="00617153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t>K</w:t>
      </w:r>
      <w:r w:rsidR="006A1E96" w:rsidRPr="00617153">
        <w:rPr>
          <w:rFonts w:ascii="Century Gothic" w:hAnsi="Century Gothic"/>
          <w:sz w:val="22"/>
          <w:szCs w:val="22"/>
        </w:rPr>
        <w:t xml:space="preserve">ostnaden för </w:t>
      </w:r>
      <w:r w:rsidR="00157D9E" w:rsidRPr="00617153">
        <w:rPr>
          <w:rFonts w:ascii="Century Gothic" w:hAnsi="Century Gothic"/>
          <w:sz w:val="22"/>
          <w:szCs w:val="22"/>
        </w:rPr>
        <w:t xml:space="preserve">typiska semesterprodukter, en </w:t>
      </w:r>
      <w:r w:rsidR="00412F35" w:rsidRPr="00617153">
        <w:rPr>
          <w:rFonts w:ascii="Century Gothic" w:hAnsi="Century Gothic"/>
          <w:sz w:val="22"/>
          <w:szCs w:val="22"/>
        </w:rPr>
        <w:t xml:space="preserve">taxiresa, en </w:t>
      </w:r>
      <w:r w:rsidR="00157D9E" w:rsidRPr="00617153">
        <w:rPr>
          <w:rFonts w:ascii="Century Gothic" w:hAnsi="Century Gothic"/>
          <w:sz w:val="22"/>
          <w:szCs w:val="22"/>
        </w:rPr>
        <w:t>öl, ett mål mat på restaurang och en natt</w:t>
      </w:r>
      <w:r w:rsidRPr="00617153">
        <w:rPr>
          <w:rFonts w:ascii="Century Gothic" w:hAnsi="Century Gothic"/>
          <w:sz w:val="22"/>
          <w:szCs w:val="22"/>
        </w:rPr>
        <w:t xml:space="preserve"> på ett trestjärnigt hotell </w:t>
      </w:r>
      <w:r w:rsidR="00157D9E" w:rsidRPr="00617153">
        <w:rPr>
          <w:rFonts w:ascii="Century Gothic" w:hAnsi="Century Gothic"/>
          <w:sz w:val="22"/>
          <w:szCs w:val="22"/>
        </w:rPr>
        <w:t xml:space="preserve">ligger till grund för </w:t>
      </w:r>
      <w:proofErr w:type="spellStart"/>
      <w:r w:rsidR="00157D9E" w:rsidRPr="00617153">
        <w:rPr>
          <w:rFonts w:ascii="Century Gothic" w:hAnsi="Century Gothic"/>
          <w:sz w:val="22"/>
          <w:szCs w:val="22"/>
        </w:rPr>
        <w:t>momondos</w:t>
      </w:r>
      <w:proofErr w:type="spellEnd"/>
      <w:r w:rsidR="00157D9E" w:rsidRPr="00617153">
        <w:rPr>
          <w:rFonts w:ascii="Century Gothic" w:hAnsi="Century Gothic"/>
          <w:sz w:val="22"/>
          <w:szCs w:val="22"/>
        </w:rPr>
        <w:t xml:space="preserve"> lista över det nya årets bästa budgetdestinationer. </w:t>
      </w:r>
      <w:r w:rsidR="006969A1" w:rsidRPr="00617153">
        <w:rPr>
          <w:rFonts w:ascii="Century Gothic" w:hAnsi="Century Gothic"/>
          <w:sz w:val="22"/>
          <w:szCs w:val="22"/>
        </w:rPr>
        <w:t xml:space="preserve">Resmålen erbjuder allt från gastronomiska </w:t>
      </w:r>
      <w:r w:rsidR="0018457D" w:rsidRPr="00617153">
        <w:rPr>
          <w:rFonts w:ascii="Century Gothic" w:hAnsi="Century Gothic"/>
          <w:sz w:val="22"/>
          <w:szCs w:val="22"/>
        </w:rPr>
        <w:t>och kulturella upplevelser till festligheter</w:t>
      </w:r>
      <w:r w:rsidRPr="00617153">
        <w:rPr>
          <w:rFonts w:ascii="Century Gothic" w:hAnsi="Century Gothic"/>
          <w:sz w:val="22"/>
          <w:szCs w:val="22"/>
        </w:rPr>
        <w:t xml:space="preserve"> och shopping. </w:t>
      </w:r>
    </w:p>
    <w:p w14:paraId="6382F218" w14:textId="77777777" w:rsidR="00EC4062" w:rsidRPr="00617153" w:rsidRDefault="00EC4062">
      <w:pPr>
        <w:rPr>
          <w:rFonts w:ascii="Century Gothic" w:hAnsi="Century Gothic"/>
          <w:b/>
          <w:sz w:val="22"/>
          <w:szCs w:val="22"/>
        </w:rPr>
      </w:pPr>
    </w:p>
    <w:p w14:paraId="5A56E6E9" w14:textId="1A539BDD" w:rsidR="00073E54" w:rsidRPr="00617153" w:rsidRDefault="00AF3530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t xml:space="preserve">– </w:t>
      </w:r>
      <w:r w:rsidR="00AC6D9E" w:rsidRPr="00617153">
        <w:rPr>
          <w:rFonts w:ascii="Century Gothic" w:hAnsi="Century Gothic"/>
          <w:sz w:val="22"/>
          <w:szCs w:val="22"/>
        </w:rPr>
        <w:t xml:space="preserve">I </w:t>
      </w:r>
      <w:r w:rsidR="00157D9E" w:rsidRPr="00617153">
        <w:rPr>
          <w:rFonts w:ascii="Century Gothic" w:hAnsi="Century Gothic"/>
          <w:sz w:val="22"/>
          <w:szCs w:val="22"/>
        </w:rPr>
        <w:t>P</w:t>
      </w:r>
      <w:r w:rsidR="0001617B" w:rsidRPr="00617153">
        <w:rPr>
          <w:rFonts w:ascii="Century Gothic" w:hAnsi="Century Gothic"/>
          <w:sz w:val="22"/>
          <w:szCs w:val="22"/>
        </w:rPr>
        <w:t>hnom Penh</w:t>
      </w:r>
      <w:r w:rsidR="00297F3C" w:rsidRPr="00617153">
        <w:rPr>
          <w:rFonts w:ascii="Century Gothic" w:hAnsi="Century Gothic"/>
          <w:sz w:val="22"/>
          <w:szCs w:val="22"/>
        </w:rPr>
        <w:t xml:space="preserve"> är det </w:t>
      </w:r>
      <w:r w:rsidR="004B4763" w:rsidRPr="00617153">
        <w:rPr>
          <w:rFonts w:ascii="Century Gothic" w:hAnsi="Century Gothic"/>
          <w:sz w:val="22"/>
          <w:szCs w:val="22"/>
        </w:rPr>
        <w:t>billigt överlag</w:t>
      </w:r>
      <w:r w:rsidR="007D2750" w:rsidRPr="00617153">
        <w:rPr>
          <w:rFonts w:ascii="Century Gothic" w:hAnsi="Century Gothic"/>
          <w:sz w:val="22"/>
          <w:szCs w:val="22"/>
        </w:rPr>
        <w:t xml:space="preserve"> och i Colombo får hungriga magar mycket mat för pengarna</w:t>
      </w:r>
      <w:r w:rsidR="004B4763" w:rsidRPr="00617153">
        <w:rPr>
          <w:rFonts w:ascii="Century Gothic" w:hAnsi="Century Gothic"/>
          <w:sz w:val="22"/>
          <w:szCs w:val="22"/>
        </w:rPr>
        <w:t xml:space="preserve">. I Tunis </w:t>
      </w:r>
      <w:r w:rsidR="0001617B" w:rsidRPr="00617153">
        <w:rPr>
          <w:rFonts w:ascii="Century Gothic" w:hAnsi="Century Gothic"/>
          <w:sz w:val="22"/>
          <w:szCs w:val="22"/>
        </w:rPr>
        <w:t xml:space="preserve">åker </w:t>
      </w:r>
      <w:r w:rsidR="00073E54" w:rsidRPr="00617153">
        <w:rPr>
          <w:rFonts w:ascii="Century Gothic" w:hAnsi="Century Gothic"/>
          <w:sz w:val="22"/>
          <w:szCs w:val="22"/>
        </w:rPr>
        <w:t xml:space="preserve">trötta ben </w:t>
      </w:r>
      <w:r w:rsidRPr="00617153">
        <w:rPr>
          <w:rFonts w:ascii="Century Gothic" w:hAnsi="Century Gothic"/>
          <w:sz w:val="22"/>
          <w:szCs w:val="22"/>
        </w:rPr>
        <w:t>billigast taxi</w:t>
      </w:r>
      <w:r w:rsidR="00AC6D9E" w:rsidRPr="00617153">
        <w:rPr>
          <w:rFonts w:ascii="Century Gothic" w:hAnsi="Century Gothic"/>
          <w:sz w:val="22"/>
          <w:szCs w:val="22"/>
        </w:rPr>
        <w:t xml:space="preserve"> medan en öl är dubbelt så dyr i New Orleans</w:t>
      </w:r>
      <w:r w:rsidR="0044172E" w:rsidRPr="00617153">
        <w:rPr>
          <w:rFonts w:ascii="Century Gothic" w:hAnsi="Century Gothic"/>
          <w:sz w:val="22"/>
          <w:szCs w:val="22"/>
        </w:rPr>
        <w:t xml:space="preserve"> jämfört med</w:t>
      </w:r>
      <w:r w:rsidR="00AC6D9E" w:rsidRPr="00617153">
        <w:rPr>
          <w:rFonts w:ascii="Century Gothic" w:hAnsi="Century Gothic"/>
          <w:sz w:val="22"/>
          <w:szCs w:val="22"/>
        </w:rPr>
        <w:t xml:space="preserve"> i Kapstaden</w:t>
      </w:r>
      <w:r w:rsidRPr="00617153">
        <w:rPr>
          <w:rFonts w:ascii="Century Gothic" w:hAnsi="Century Gothic"/>
          <w:sz w:val="22"/>
          <w:szCs w:val="22"/>
        </w:rPr>
        <w:t xml:space="preserve">, säger Robin Eriksson, Sverigechef </w:t>
      </w:r>
      <w:r w:rsidR="004B4763" w:rsidRPr="00617153">
        <w:rPr>
          <w:rFonts w:ascii="Century Gothic" w:hAnsi="Century Gothic"/>
          <w:sz w:val="22"/>
          <w:szCs w:val="22"/>
        </w:rPr>
        <w:t xml:space="preserve">på </w:t>
      </w:r>
      <w:r w:rsidRPr="00617153">
        <w:rPr>
          <w:rFonts w:ascii="Century Gothic" w:hAnsi="Century Gothic"/>
          <w:sz w:val="22"/>
          <w:szCs w:val="22"/>
        </w:rPr>
        <w:t xml:space="preserve">momondo. </w:t>
      </w:r>
      <w:r w:rsidR="00034AB4" w:rsidRPr="00617153">
        <w:rPr>
          <w:rFonts w:ascii="Century Gothic" w:hAnsi="Century Gothic"/>
          <w:sz w:val="22"/>
          <w:szCs w:val="22"/>
        </w:rPr>
        <w:br/>
      </w:r>
    </w:p>
    <w:p w14:paraId="52E54D03" w14:textId="51AF2D19" w:rsidR="0001617B" w:rsidRPr="00617153" w:rsidRDefault="00034AB4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b/>
          <w:sz w:val="22"/>
          <w:szCs w:val="22"/>
        </w:rPr>
        <w:t>Januari, Phnom Penh/Kambodja</w:t>
      </w:r>
      <w:r w:rsidR="00623AC3" w:rsidRPr="00617153">
        <w:rPr>
          <w:rFonts w:ascii="Century Gothic" w:hAnsi="Century Gothic"/>
          <w:b/>
          <w:sz w:val="22"/>
          <w:szCs w:val="22"/>
        </w:rPr>
        <w:br/>
      </w:r>
      <w:r w:rsidR="00623AC3" w:rsidRPr="00617153">
        <w:rPr>
          <w:rFonts w:ascii="Century Gothic" w:hAnsi="Century Gothic"/>
          <w:sz w:val="22"/>
          <w:szCs w:val="22"/>
        </w:rPr>
        <w:t>Kambodjas huvudstad Phnom Penh trängs gastronomisk</w:t>
      </w:r>
      <w:r w:rsidR="00FF5418" w:rsidRPr="00617153">
        <w:rPr>
          <w:rFonts w:ascii="Century Gothic" w:hAnsi="Century Gothic"/>
          <w:sz w:val="22"/>
          <w:szCs w:val="22"/>
        </w:rPr>
        <w:t>a</w:t>
      </w:r>
      <w:r w:rsidR="00623AC3" w:rsidRPr="00617153">
        <w:rPr>
          <w:rFonts w:ascii="Century Gothic" w:hAnsi="Century Gothic"/>
          <w:sz w:val="22"/>
          <w:szCs w:val="22"/>
        </w:rPr>
        <w:t xml:space="preserve"> upplevelser </w:t>
      </w:r>
      <w:r w:rsidR="007D2750" w:rsidRPr="00617153">
        <w:rPr>
          <w:rFonts w:ascii="Century Gothic" w:hAnsi="Century Gothic"/>
          <w:sz w:val="22"/>
          <w:szCs w:val="22"/>
        </w:rPr>
        <w:t xml:space="preserve">och </w:t>
      </w:r>
      <w:r w:rsidRPr="00617153">
        <w:rPr>
          <w:rFonts w:ascii="Century Gothic" w:hAnsi="Century Gothic"/>
          <w:sz w:val="22"/>
          <w:szCs w:val="22"/>
        </w:rPr>
        <w:t>villor från den fransk</w:t>
      </w:r>
      <w:r w:rsidR="00412F35" w:rsidRPr="00617153">
        <w:rPr>
          <w:rFonts w:ascii="Century Gothic" w:hAnsi="Century Gothic"/>
          <w:sz w:val="22"/>
          <w:szCs w:val="22"/>
        </w:rPr>
        <w:t>a</w:t>
      </w:r>
      <w:r w:rsidRPr="00617153">
        <w:rPr>
          <w:rFonts w:ascii="Century Gothic" w:hAnsi="Century Gothic"/>
          <w:sz w:val="22"/>
          <w:szCs w:val="22"/>
        </w:rPr>
        <w:t xml:space="preserve"> kolonial</w:t>
      </w:r>
      <w:r w:rsidR="0044172E" w:rsidRPr="00617153">
        <w:rPr>
          <w:rFonts w:ascii="Century Gothic" w:hAnsi="Century Gothic"/>
          <w:sz w:val="22"/>
          <w:szCs w:val="22"/>
        </w:rPr>
        <w:t>eran</w:t>
      </w:r>
      <w:r w:rsidR="007D2750" w:rsidRPr="00617153">
        <w:rPr>
          <w:rFonts w:ascii="Century Gothic" w:hAnsi="Century Gothic"/>
          <w:sz w:val="22"/>
          <w:szCs w:val="22"/>
        </w:rPr>
        <w:t xml:space="preserve"> längs med Mekongfloden</w:t>
      </w:r>
      <w:r w:rsidR="00623AC3" w:rsidRPr="00617153">
        <w:rPr>
          <w:rFonts w:ascii="Century Gothic" w:hAnsi="Century Gothic"/>
          <w:sz w:val="22"/>
          <w:szCs w:val="22"/>
        </w:rPr>
        <w:t xml:space="preserve">. Staden kallades tidigt </w:t>
      </w:r>
      <w:r w:rsidR="00412F35" w:rsidRPr="00617153">
        <w:rPr>
          <w:rFonts w:ascii="Century Gothic" w:hAnsi="Century Gothic"/>
          <w:sz w:val="22"/>
          <w:szCs w:val="22"/>
        </w:rPr>
        <w:t>för ”The Paris of the East” och</w:t>
      </w:r>
      <w:r w:rsidRPr="00617153">
        <w:rPr>
          <w:rFonts w:ascii="Century Gothic" w:hAnsi="Century Gothic"/>
          <w:sz w:val="22"/>
          <w:szCs w:val="22"/>
        </w:rPr>
        <w:t xml:space="preserve"> </w:t>
      </w:r>
      <w:r w:rsidR="00623AC3" w:rsidRPr="00617153">
        <w:rPr>
          <w:rFonts w:ascii="Century Gothic" w:hAnsi="Century Gothic"/>
          <w:sz w:val="22"/>
          <w:szCs w:val="22"/>
        </w:rPr>
        <w:t xml:space="preserve">erbjuder </w:t>
      </w:r>
      <w:r w:rsidRPr="00617153">
        <w:rPr>
          <w:rFonts w:ascii="Century Gothic" w:hAnsi="Century Gothic"/>
          <w:sz w:val="22"/>
          <w:szCs w:val="22"/>
        </w:rPr>
        <w:t xml:space="preserve">än i dag färgstark </w:t>
      </w:r>
      <w:r w:rsidR="00623AC3" w:rsidRPr="00617153">
        <w:rPr>
          <w:rFonts w:ascii="Century Gothic" w:hAnsi="Century Gothic"/>
          <w:sz w:val="22"/>
          <w:szCs w:val="22"/>
        </w:rPr>
        <w:t>shopping</w:t>
      </w:r>
      <w:r w:rsidRPr="00617153">
        <w:rPr>
          <w:rFonts w:ascii="Century Gothic" w:hAnsi="Century Gothic"/>
          <w:sz w:val="22"/>
          <w:szCs w:val="22"/>
        </w:rPr>
        <w:t xml:space="preserve">, mat och kultur. I januari </w:t>
      </w:r>
      <w:r w:rsidR="00B3764B" w:rsidRPr="00617153">
        <w:rPr>
          <w:rFonts w:ascii="Century Gothic" w:hAnsi="Century Gothic"/>
          <w:sz w:val="22"/>
          <w:szCs w:val="22"/>
        </w:rPr>
        <w:t xml:space="preserve">tinar Phnom Penh frusna skandinaver med sina cirka 30 grader. </w:t>
      </w:r>
    </w:p>
    <w:p w14:paraId="5B5F1FFF" w14:textId="40E1A15A" w:rsidR="00623AC3" w:rsidRPr="00617153" w:rsidRDefault="00623AC3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br/>
      </w:r>
      <w:r w:rsidRPr="00617153">
        <w:rPr>
          <w:rFonts w:ascii="Century Gothic" w:hAnsi="Century Gothic"/>
          <w:b/>
          <w:sz w:val="22"/>
          <w:szCs w:val="22"/>
        </w:rPr>
        <w:t>Februari</w:t>
      </w:r>
      <w:r w:rsidR="00034AB4" w:rsidRPr="00617153">
        <w:rPr>
          <w:rFonts w:ascii="Century Gothic" w:hAnsi="Century Gothic"/>
          <w:b/>
          <w:sz w:val="22"/>
          <w:szCs w:val="22"/>
        </w:rPr>
        <w:t xml:space="preserve">, Lima/Peru. </w:t>
      </w:r>
      <w:r w:rsidRPr="00617153">
        <w:rPr>
          <w:rFonts w:ascii="Century Gothic" w:hAnsi="Century Gothic"/>
          <w:b/>
          <w:sz w:val="22"/>
          <w:szCs w:val="22"/>
        </w:rPr>
        <w:br/>
      </w:r>
      <w:r w:rsidRPr="00617153">
        <w:rPr>
          <w:rFonts w:ascii="Century Gothic" w:hAnsi="Century Gothic"/>
          <w:sz w:val="22"/>
          <w:szCs w:val="22"/>
        </w:rPr>
        <w:t>I Lima, Peru</w:t>
      </w:r>
      <w:r w:rsidR="00B3764B" w:rsidRPr="00617153">
        <w:rPr>
          <w:rFonts w:ascii="Century Gothic" w:hAnsi="Century Gothic"/>
          <w:sz w:val="22"/>
          <w:szCs w:val="22"/>
        </w:rPr>
        <w:t xml:space="preserve"> största stad och tillika huvudstad</w:t>
      </w:r>
      <w:r w:rsidRPr="00617153">
        <w:rPr>
          <w:rFonts w:ascii="Century Gothic" w:hAnsi="Century Gothic"/>
          <w:sz w:val="22"/>
          <w:szCs w:val="22"/>
        </w:rPr>
        <w:t xml:space="preserve">, finns en mix av det gamla och det nya. </w:t>
      </w:r>
      <w:r w:rsidR="00B3764B" w:rsidRPr="00617153">
        <w:rPr>
          <w:rFonts w:ascii="Century Gothic" w:hAnsi="Century Gothic"/>
          <w:sz w:val="22"/>
          <w:szCs w:val="22"/>
        </w:rPr>
        <w:t xml:space="preserve">Staden som grundades under namnet </w:t>
      </w:r>
      <w:r w:rsidR="00FF5418" w:rsidRPr="00617153">
        <w:rPr>
          <w:rFonts w:ascii="Century Gothic" w:hAnsi="Century Gothic"/>
          <w:sz w:val="22"/>
          <w:szCs w:val="22"/>
        </w:rPr>
        <w:t>”City of Kings”</w:t>
      </w:r>
      <w:r w:rsidR="00B3764B" w:rsidRPr="00617153">
        <w:rPr>
          <w:rFonts w:ascii="Century Gothic" w:hAnsi="Century Gothic"/>
          <w:sz w:val="22"/>
          <w:szCs w:val="22"/>
        </w:rPr>
        <w:t xml:space="preserve"> finns med på</w:t>
      </w:r>
      <w:r w:rsidR="00FF5418" w:rsidRPr="00617153">
        <w:rPr>
          <w:rFonts w:ascii="Century Gothic" w:hAnsi="Century Gothic"/>
          <w:sz w:val="22"/>
          <w:szCs w:val="22"/>
        </w:rPr>
        <w:t xml:space="preserve"> UNESCOS världsarvslista</w:t>
      </w:r>
      <w:r w:rsidR="00B3764B" w:rsidRPr="00617153">
        <w:rPr>
          <w:rFonts w:ascii="Century Gothic" w:hAnsi="Century Gothic"/>
          <w:sz w:val="22"/>
          <w:szCs w:val="22"/>
        </w:rPr>
        <w:t xml:space="preserve">. </w:t>
      </w:r>
      <w:r w:rsidR="00FF5418" w:rsidRPr="00617153">
        <w:rPr>
          <w:rFonts w:ascii="Century Gothic" w:hAnsi="Century Gothic"/>
          <w:sz w:val="22"/>
          <w:szCs w:val="22"/>
        </w:rPr>
        <w:t xml:space="preserve">I februari är vädret som bäst i Lima, solen skiner och utan den annars så vanliga tjocka och fuktiga dimman välkomnas besökare med panoramautsikt över Stilla havet. </w:t>
      </w:r>
    </w:p>
    <w:p w14:paraId="7A48BA1E" w14:textId="77777777" w:rsidR="00FF5418" w:rsidRPr="00617153" w:rsidRDefault="00FF5418">
      <w:pPr>
        <w:rPr>
          <w:rFonts w:ascii="Century Gothic" w:hAnsi="Century Gothic"/>
          <w:sz w:val="22"/>
          <w:szCs w:val="22"/>
        </w:rPr>
      </w:pPr>
    </w:p>
    <w:p w14:paraId="53191D50" w14:textId="77777777" w:rsidR="00FF5418" w:rsidRPr="00617153" w:rsidRDefault="00FF5418">
      <w:pPr>
        <w:rPr>
          <w:rFonts w:ascii="Century Gothic" w:hAnsi="Century Gothic"/>
          <w:b/>
          <w:sz w:val="22"/>
          <w:szCs w:val="22"/>
        </w:rPr>
      </w:pPr>
      <w:r w:rsidRPr="00617153">
        <w:rPr>
          <w:rFonts w:ascii="Century Gothic" w:hAnsi="Century Gothic"/>
          <w:b/>
          <w:sz w:val="22"/>
          <w:szCs w:val="22"/>
        </w:rPr>
        <w:t>Mars</w:t>
      </w:r>
      <w:r w:rsidR="00034AB4" w:rsidRPr="00617153">
        <w:rPr>
          <w:rFonts w:ascii="Century Gothic" w:hAnsi="Century Gothic"/>
          <w:b/>
          <w:sz w:val="22"/>
          <w:szCs w:val="22"/>
        </w:rPr>
        <w:t>, New Orleans/USA</w:t>
      </w:r>
    </w:p>
    <w:p w14:paraId="11645836" w14:textId="53F118ED" w:rsidR="0001617B" w:rsidRPr="00617153" w:rsidRDefault="00FF5418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t xml:space="preserve">I </w:t>
      </w:r>
      <w:r w:rsidR="00A71060" w:rsidRPr="00617153">
        <w:rPr>
          <w:rFonts w:ascii="Century Gothic" w:hAnsi="Century Gothic"/>
          <w:sz w:val="22"/>
          <w:szCs w:val="22"/>
        </w:rPr>
        <w:t>amerikanska New Orleans</w:t>
      </w:r>
      <w:r w:rsidR="00B3764B" w:rsidRPr="00617153">
        <w:rPr>
          <w:rFonts w:ascii="Century Gothic" w:hAnsi="Century Gothic"/>
          <w:sz w:val="22"/>
          <w:szCs w:val="22"/>
        </w:rPr>
        <w:t>, delstaten Louisianas största stad,</w:t>
      </w:r>
      <w:r w:rsidRPr="00617153">
        <w:rPr>
          <w:rFonts w:ascii="Century Gothic" w:hAnsi="Century Gothic"/>
          <w:sz w:val="22"/>
          <w:szCs w:val="22"/>
        </w:rPr>
        <w:t xml:space="preserve"> hittar den party</w:t>
      </w:r>
      <w:r w:rsidR="00B3764B" w:rsidRPr="00617153">
        <w:rPr>
          <w:rFonts w:ascii="Century Gothic" w:hAnsi="Century Gothic"/>
          <w:sz w:val="22"/>
          <w:szCs w:val="22"/>
        </w:rPr>
        <w:t>glade</w:t>
      </w:r>
      <w:r w:rsidR="00A71060" w:rsidRPr="00617153">
        <w:rPr>
          <w:rFonts w:ascii="Century Gothic" w:hAnsi="Century Gothic"/>
          <w:sz w:val="22"/>
          <w:szCs w:val="22"/>
        </w:rPr>
        <w:t xml:space="preserve"> </w:t>
      </w:r>
      <w:r w:rsidRPr="00617153">
        <w:rPr>
          <w:rFonts w:ascii="Century Gothic" w:hAnsi="Century Gothic"/>
          <w:sz w:val="22"/>
          <w:szCs w:val="22"/>
        </w:rPr>
        <w:t>al</w:t>
      </w:r>
      <w:r w:rsidR="0076686C" w:rsidRPr="00617153">
        <w:rPr>
          <w:rFonts w:ascii="Century Gothic" w:hAnsi="Century Gothic"/>
          <w:sz w:val="22"/>
          <w:szCs w:val="22"/>
        </w:rPr>
        <w:t>ltid en fest. Miljontals besökare upplever</w:t>
      </w:r>
      <w:r w:rsidRPr="00617153">
        <w:rPr>
          <w:rFonts w:ascii="Century Gothic" w:hAnsi="Century Gothic"/>
          <w:sz w:val="22"/>
          <w:szCs w:val="22"/>
        </w:rPr>
        <w:t xml:space="preserve"> </w:t>
      </w:r>
      <w:r w:rsidR="0076686C" w:rsidRPr="00617153">
        <w:rPr>
          <w:rFonts w:ascii="Century Gothic" w:hAnsi="Century Gothic"/>
          <w:sz w:val="22"/>
          <w:szCs w:val="22"/>
        </w:rPr>
        <w:t>årligen</w:t>
      </w:r>
      <w:r w:rsidRPr="00617153">
        <w:rPr>
          <w:rFonts w:ascii="Century Gothic" w:hAnsi="Century Gothic"/>
          <w:sz w:val="22"/>
          <w:szCs w:val="22"/>
        </w:rPr>
        <w:t xml:space="preserve"> </w:t>
      </w:r>
      <w:r w:rsidR="0076686C" w:rsidRPr="00617153">
        <w:rPr>
          <w:rFonts w:ascii="Century Gothic" w:hAnsi="Century Gothic"/>
          <w:sz w:val="22"/>
          <w:szCs w:val="22"/>
        </w:rPr>
        <w:t xml:space="preserve">den stora </w:t>
      </w:r>
      <w:proofErr w:type="spellStart"/>
      <w:r w:rsidR="0076686C" w:rsidRPr="00617153">
        <w:rPr>
          <w:rFonts w:ascii="Century Gothic" w:hAnsi="Century Gothic"/>
          <w:sz w:val="22"/>
          <w:szCs w:val="22"/>
        </w:rPr>
        <w:t>karnivalen</w:t>
      </w:r>
      <w:proofErr w:type="spellEnd"/>
      <w:r w:rsidR="0076686C" w:rsidRPr="0061715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17153">
        <w:rPr>
          <w:rFonts w:ascii="Century Gothic" w:hAnsi="Century Gothic"/>
          <w:sz w:val="22"/>
          <w:szCs w:val="22"/>
        </w:rPr>
        <w:t>Mardi</w:t>
      </w:r>
      <w:proofErr w:type="spellEnd"/>
      <w:r w:rsidRPr="00617153">
        <w:rPr>
          <w:rFonts w:ascii="Century Gothic" w:hAnsi="Century Gothic"/>
          <w:sz w:val="22"/>
          <w:szCs w:val="22"/>
        </w:rPr>
        <w:t xml:space="preserve"> Gras </w:t>
      </w:r>
      <w:r w:rsidR="00A71060" w:rsidRPr="00617153">
        <w:rPr>
          <w:rFonts w:ascii="Century Gothic" w:hAnsi="Century Gothic"/>
          <w:sz w:val="22"/>
          <w:szCs w:val="22"/>
        </w:rPr>
        <w:t xml:space="preserve">i februari </w:t>
      </w:r>
      <w:r w:rsidRPr="00617153">
        <w:rPr>
          <w:rFonts w:ascii="Century Gothic" w:hAnsi="Century Gothic"/>
          <w:sz w:val="22"/>
          <w:szCs w:val="22"/>
        </w:rPr>
        <w:t xml:space="preserve">men för den som </w:t>
      </w:r>
      <w:r w:rsidR="00A71060" w:rsidRPr="00617153">
        <w:rPr>
          <w:rFonts w:ascii="Century Gothic" w:hAnsi="Century Gothic"/>
          <w:sz w:val="22"/>
          <w:szCs w:val="22"/>
        </w:rPr>
        <w:t xml:space="preserve">hellre undviker trängseln </w:t>
      </w:r>
      <w:r w:rsidRPr="00617153">
        <w:rPr>
          <w:rFonts w:ascii="Century Gothic" w:hAnsi="Century Gothic"/>
          <w:sz w:val="22"/>
          <w:szCs w:val="22"/>
        </w:rPr>
        <w:t xml:space="preserve">erbjuder mars månad </w:t>
      </w:r>
      <w:r w:rsidR="0076686C" w:rsidRPr="00617153">
        <w:rPr>
          <w:rFonts w:ascii="Century Gothic" w:hAnsi="Century Gothic"/>
          <w:sz w:val="22"/>
          <w:szCs w:val="22"/>
        </w:rPr>
        <w:t>ett</w:t>
      </w:r>
      <w:r w:rsidRPr="00617153">
        <w:rPr>
          <w:rFonts w:ascii="Century Gothic" w:hAnsi="Century Gothic"/>
          <w:sz w:val="22"/>
          <w:szCs w:val="22"/>
        </w:rPr>
        <w:t xml:space="preserve"> </w:t>
      </w:r>
      <w:r w:rsidR="00B3764B" w:rsidRPr="00617153">
        <w:rPr>
          <w:rFonts w:ascii="Century Gothic" w:hAnsi="Century Gothic"/>
          <w:sz w:val="22"/>
          <w:szCs w:val="22"/>
        </w:rPr>
        <w:t xml:space="preserve">lika hett </w:t>
      </w:r>
      <w:r w:rsidRPr="00617153">
        <w:rPr>
          <w:rFonts w:ascii="Century Gothic" w:hAnsi="Century Gothic"/>
          <w:sz w:val="22"/>
          <w:szCs w:val="22"/>
        </w:rPr>
        <w:t>nattli</w:t>
      </w:r>
      <w:r w:rsidR="00A71060" w:rsidRPr="00617153">
        <w:rPr>
          <w:rFonts w:ascii="Century Gothic" w:hAnsi="Century Gothic"/>
          <w:sz w:val="22"/>
          <w:szCs w:val="22"/>
        </w:rPr>
        <w:t xml:space="preserve">v och </w:t>
      </w:r>
      <w:r w:rsidR="0076686C" w:rsidRPr="00617153">
        <w:rPr>
          <w:rFonts w:ascii="Century Gothic" w:hAnsi="Century Gothic"/>
          <w:sz w:val="22"/>
          <w:szCs w:val="22"/>
        </w:rPr>
        <w:t xml:space="preserve">heta matupplevelser </w:t>
      </w:r>
      <w:r w:rsidR="00A71060" w:rsidRPr="00617153">
        <w:rPr>
          <w:rFonts w:ascii="Century Gothic" w:hAnsi="Century Gothic"/>
          <w:sz w:val="22"/>
          <w:szCs w:val="22"/>
        </w:rPr>
        <w:t xml:space="preserve">som </w:t>
      </w:r>
      <w:r w:rsidR="00B3764B" w:rsidRPr="00617153">
        <w:rPr>
          <w:rFonts w:ascii="Century Gothic" w:hAnsi="Century Gothic"/>
          <w:sz w:val="22"/>
          <w:szCs w:val="22"/>
        </w:rPr>
        <w:t>stadens väder</w:t>
      </w:r>
      <w:r w:rsidR="00A71060" w:rsidRPr="00617153">
        <w:rPr>
          <w:rFonts w:ascii="Century Gothic" w:hAnsi="Century Gothic"/>
          <w:sz w:val="22"/>
          <w:szCs w:val="22"/>
        </w:rPr>
        <w:t>.</w:t>
      </w:r>
    </w:p>
    <w:p w14:paraId="142A2A91" w14:textId="77777777" w:rsidR="00FF5418" w:rsidRPr="00617153" w:rsidRDefault="00FF5418">
      <w:pPr>
        <w:rPr>
          <w:rFonts w:ascii="Century Gothic" w:hAnsi="Century Gothic"/>
          <w:sz w:val="22"/>
          <w:szCs w:val="22"/>
        </w:rPr>
      </w:pPr>
    </w:p>
    <w:p w14:paraId="30AFB2DA" w14:textId="77777777" w:rsidR="00FF5418" w:rsidRPr="00617153" w:rsidRDefault="00FF5418">
      <w:pPr>
        <w:rPr>
          <w:rFonts w:ascii="Century Gothic" w:hAnsi="Century Gothic"/>
          <w:b/>
          <w:sz w:val="22"/>
          <w:szCs w:val="22"/>
        </w:rPr>
      </w:pPr>
      <w:r w:rsidRPr="00617153">
        <w:rPr>
          <w:rFonts w:ascii="Century Gothic" w:hAnsi="Century Gothic"/>
          <w:b/>
          <w:sz w:val="22"/>
          <w:szCs w:val="22"/>
        </w:rPr>
        <w:t>April</w:t>
      </w:r>
      <w:r w:rsidR="00A71060" w:rsidRPr="00617153">
        <w:rPr>
          <w:rFonts w:ascii="Century Gothic" w:hAnsi="Century Gothic"/>
          <w:b/>
          <w:sz w:val="22"/>
          <w:szCs w:val="22"/>
        </w:rPr>
        <w:t>, Busan/Sydkorea</w:t>
      </w:r>
    </w:p>
    <w:p w14:paraId="76D28A8E" w14:textId="398A31AA" w:rsidR="0001617B" w:rsidRDefault="00904AF8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t xml:space="preserve">Förutom att husera Asiens största filmfestival har </w:t>
      </w:r>
      <w:r w:rsidR="00A71060" w:rsidRPr="00617153">
        <w:rPr>
          <w:rFonts w:ascii="Century Gothic" w:hAnsi="Century Gothic"/>
          <w:sz w:val="22"/>
          <w:szCs w:val="22"/>
        </w:rPr>
        <w:t xml:space="preserve">Sydkoreanska </w:t>
      </w:r>
      <w:r w:rsidRPr="00617153">
        <w:rPr>
          <w:rFonts w:ascii="Century Gothic" w:hAnsi="Century Gothic"/>
          <w:sz w:val="22"/>
          <w:szCs w:val="22"/>
        </w:rPr>
        <w:t xml:space="preserve">Busan både en mer välkomnande attityd och fler berg, stränder </w:t>
      </w:r>
      <w:r w:rsidR="0076686C" w:rsidRPr="00617153">
        <w:rPr>
          <w:rFonts w:ascii="Century Gothic" w:hAnsi="Century Gothic"/>
          <w:sz w:val="22"/>
          <w:szCs w:val="22"/>
        </w:rPr>
        <w:t>samt</w:t>
      </w:r>
      <w:r w:rsidRPr="00617153">
        <w:rPr>
          <w:rFonts w:ascii="Century Gothic" w:hAnsi="Century Gothic"/>
          <w:sz w:val="22"/>
          <w:szCs w:val="22"/>
        </w:rPr>
        <w:t xml:space="preserve"> tempel att utforska än Seoul. </w:t>
      </w:r>
      <w:r w:rsidR="00A71060" w:rsidRPr="00617153">
        <w:rPr>
          <w:rFonts w:ascii="Century Gothic" w:hAnsi="Century Gothic"/>
          <w:sz w:val="22"/>
          <w:szCs w:val="22"/>
        </w:rPr>
        <w:t>I a</w:t>
      </w:r>
      <w:r w:rsidRPr="00617153">
        <w:rPr>
          <w:rFonts w:ascii="Century Gothic" w:hAnsi="Century Gothic"/>
          <w:sz w:val="22"/>
          <w:szCs w:val="22"/>
        </w:rPr>
        <w:t xml:space="preserve">pril </w:t>
      </w:r>
      <w:r w:rsidR="006969A1" w:rsidRPr="00617153">
        <w:rPr>
          <w:rFonts w:ascii="Century Gothic" w:hAnsi="Century Gothic"/>
          <w:sz w:val="22"/>
          <w:szCs w:val="22"/>
        </w:rPr>
        <w:t>äger den årliga körsbärsblom</w:t>
      </w:r>
      <w:r w:rsidR="00A71060" w:rsidRPr="00617153">
        <w:rPr>
          <w:rFonts w:ascii="Century Gothic" w:hAnsi="Century Gothic"/>
          <w:sz w:val="22"/>
          <w:szCs w:val="22"/>
        </w:rPr>
        <w:t>festivalen rum vilket g</w:t>
      </w:r>
      <w:r w:rsidR="0076686C" w:rsidRPr="00617153">
        <w:rPr>
          <w:rFonts w:ascii="Century Gothic" w:hAnsi="Century Gothic"/>
          <w:sz w:val="22"/>
          <w:szCs w:val="22"/>
        </w:rPr>
        <w:t xml:space="preserve">er ett perfekt tillfälle att besöka landets näst störst stad. </w:t>
      </w:r>
      <w:r w:rsidR="00617153">
        <w:rPr>
          <w:rFonts w:ascii="Century Gothic" w:hAnsi="Century Gothic"/>
          <w:sz w:val="22"/>
          <w:szCs w:val="22"/>
        </w:rPr>
        <w:br/>
      </w:r>
    </w:p>
    <w:p w14:paraId="05A022A0" w14:textId="77777777" w:rsidR="00617153" w:rsidRPr="00617153" w:rsidRDefault="00617153">
      <w:pPr>
        <w:rPr>
          <w:rFonts w:ascii="Century Gothic" w:hAnsi="Century Gothic"/>
          <w:sz w:val="22"/>
          <w:szCs w:val="22"/>
        </w:rPr>
      </w:pPr>
    </w:p>
    <w:p w14:paraId="1348F19E" w14:textId="77777777" w:rsidR="00904AF8" w:rsidRPr="00617153" w:rsidRDefault="00904AF8" w:rsidP="00904AF8">
      <w:pPr>
        <w:rPr>
          <w:rFonts w:ascii="Century Gothic" w:hAnsi="Century Gothic"/>
          <w:b/>
          <w:sz w:val="22"/>
          <w:szCs w:val="22"/>
        </w:rPr>
      </w:pPr>
      <w:r w:rsidRPr="00617153">
        <w:rPr>
          <w:rFonts w:ascii="Century Gothic" w:hAnsi="Century Gothic"/>
          <w:b/>
          <w:sz w:val="22"/>
          <w:szCs w:val="22"/>
        </w:rPr>
        <w:lastRenderedPageBreak/>
        <w:t>Maj</w:t>
      </w:r>
      <w:r w:rsidR="00A71060" w:rsidRPr="00617153">
        <w:rPr>
          <w:rFonts w:ascii="Century Gothic" w:hAnsi="Century Gothic"/>
          <w:b/>
          <w:sz w:val="22"/>
          <w:szCs w:val="22"/>
        </w:rPr>
        <w:t>, Tibilisi/Georgien</w:t>
      </w:r>
    </w:p>
    <w:p w14:paraId="2CC8C5AD" w14:textId="68B52D69" w:rsidR="00A71060" w:rsidRPr="00617153" w:rsidRDefault="00904AF8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t>För resenärer som låter magen välja destination är färg</w:t>
      </w:r>
      <w:r w:rsidR="00A71060" w:rsidRPr="00617153">
        <w:rPr>
          <w:rFonts w:ascii="Century Gothic" w:hAnsi="Century Gothic"/>
          <w:sz w:val="22"/>
          <w:szCs w:val="22"/>
        </w:rPr>
        <w:t>rika</w:t>
      </w:r>
      <w:r w:rsidRPr="00617153">
        <w:rPr>
          <w:rFonts w:ascii="Century Gothic" w:hAnsi="Century Gothic"/>
          <w:sz w:val="22"/>
          <w:szCs w:val="22"/>
        </w:rPr>
        <w:t xml:space="preserve"> Tbilisi </w:t>
      </w:r>
      <w:r w:rsidR="0076686C" w:rsidRPr="00617153">
        <w:rPr>
          <w:rFonts w:ascii="Century Gothic" w:hAnsi="Century Gothic"/>
          <w:sz w:val="22"/>
          <w:szCs w:val="22"/>
        </w:rPr>
        <w:t>(</w:t>
      </w:r>
      <w:proofErr w:type="spellStart"/>
      <w:r w:rsidR="0076686C" w:rsidRPr="00617153">
        <w:rPr>
          <w:rFonts w:ascii="Century Gothic" w:hAnsi="Century Gothic"/>
          <w:sz w:val="22"/>
          <w:szCs w:val="22"/>
        </w:rPr>
        <w:t>Tiflis</w:t>
      </w:r>
      <w:proofErr w:type="spellEnd"/>
      <w:r w:rsidR="0076686C" w:rsidRPr="00617153">
        <w:rPr>
          <w:rFonts w:ascii="Century Gothic" w:hAnsi="Century Gothic"/>
          <w:sz w:val="22"/>
          <w:szCs w:val="22"/>
        </w:rPr>
        <w:t xml:space="preserve"> fram mitten av 1930-talet) </w:t>
      </w:r>
      <w:r w:rsidRPr="00617153">
        <w:rPr>
          <w:rFonts w:ascii="Century Gothic" w:hAnsi="Century Gothic"/>
          <w:sz w:val="22"/>
          <w:szCs w:val="22"/>
        </w:rPr>
        <w:t xml:space="preserve">perfekt. </w:t>
      </w:r>
      <w:r w:rsidR="00A70626" w:rsidRPr="00617153">
        <w:rPr>
          <w:rFonts w:ascii="Century Gothic" w:hAnsi="Century Gothic"/>
          <w:sz w:val="22"/>
          <w:szCs w:val="22"/>
        </w:rPr>
        <w:t xml:space="preserve">Georgiens huvudstad är ett gourmetparadis med ”khinkhali” (dumplings) och ”khackapuri” (georgisk pizza) som serveras över hela staden. I </w:t>
      </w:r>
      <w:r w:rsidR="00A71060" w:rsidRPr="00617153">
        <w:rPr>
          <w:rFonts w:ascii="Century Gothic" w:hAnsi="Century Gothic"/>
          <w:sz w:val="22"/>
          <w:szCs w:val="22"/>
        </w:rPr>
        <w:t>den vackra gamla delen av staden</w:t>
      </w:r>
      <w:r w:rsidR="00A70626" w:rsidRPr="00617153">
        <w:rPr>
          <w:rFonts w:ascii="Century Gothic" w:hAnsi="Century Gothic"/>
          <w:sz w:val="22"/>
          <w:szCs w:val="22"/>
        </w:rPr>
        <w:t xml:space="preserve"> hittar man de kända </w:t>
      </w:r>
      <w:r w:rsidR="00A71060" w:rsidRPr="00617153">
        <w:rPr>
          <w:rFonts w:ascii="Century Gothic" w:hAnsi="Century Gothic"/>
          <w:sz w:val="22"/>
          <w:szCs w:val="22"/>
        </w:rPr>
        <w:t>thermalbaden som kan verka uppfriskande i den tidiga sommarvärmden staden bjuder på i maj.</w:t>
      </w:r>
    </w:p>
    <w:p w14:paraId="1A7C974D" w14:textId="77777777" w:rsidR="00A70626" w:rsidRPr="00617153" w:rsidRDefault="00A70626">
      <w:pPr>
        <w:rPr>
          <w:rFonts w:ascii="Century Gothic" w:hAnsi="Century Gothic"/>
          <w:sz w:val="22"/>
          <w:szCs w:val="22"/>
        </w:rPr>
      </w:pPr>
    </w:p>
    <w:p w14:paraId="38C53466" w14:textId="77777777" w:rsidR="00A859A4" w:rsidRPr="00617153" w:rsidRDefault="00A859A4">
      <w:pPr>
        <w:rPr>
          <w:rFonts w:ascii="Century Gothic" w:hAnsi="Century Gothic"/>
          <w:b/>
          <w:sz w:val="22"/>
          <w:szCs w:val="22"/>
        </w:rPr>
      </w:pPr>
      <w:r w:rsidRPr="00617153">
        <w:rPr>
          <w:rFonts w:ascii="Century Gothic" w:hAnsi="Century Gothic"/>
          <w:b/>
          <w:sz w:val="22"/>
          <w:szCs w:val="22"/>
        </w:rPr>
        <w:t>Juni</w:t>
      </w:r>
      <w:r w:rsidR="00A71060" w:rsidRPr="00617153">
        <w:rPr>
          <w:rFonts w:ascii="Century Gothic" w:hAnsi="Century Gothic"/>
          <w:b/>
          <w:sz w:val="22"/>
          <w:szCs w:val="22"/>
        </w:rPr>
        <w:t xml:space="preserve">, </w:t>
      </w:r>
      <w:r w:rsidR="00A04C79" w:rsidRPr="00617153">
        <w:rPr>
          <w:rFonts w:ascii="Century Gothic" w:hAnsi="Century Gothic"/>
          <w:b/>
          <w:sz w:val="22"/>
          <w:szCs w:val="22"/>
        </w:rPr>
        <w:t>Izmir/Turkiet</w:t>
      </w:r>
    </w:p>
    <w:p w14:paraId="7E4D61B8" w14:textId="5BA5DBB4" w:rsidR="0001617B" w:rsidRPr="00617153" w:rsidRDefault="00A70626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t>Denna</w:t>
      </w:r>
      <w:r w:rsidR="009B4308" w:rsidRPr="00617153">
        <w:rPr>
          <w:rFonts w:ascii="Century Gothic" w:hAnsi="Century Gothic"/>
          <w:sz w:val="22"/>
          <w:szCs w:val="22"/>
        </w:rPr>
        <w:t xml:space="preserve"> hamnstad har en historia av att </w:t>
      </w:r>
      <w:r w:rsidRPr="00617153">
        <w:rPr>
          <w:rFonts w:ascii="Century Gothic" w:hAnsi="Century Gothic"/>
          <w:sz w:val="22"/>
          <w:szCs w:val="22"/>
        </w:rPr>
        <w:t>vara ett liberalt nav</w:t>
      </w:r>
      <w:r w:rsidR="009B4308" w:rsidRPr="00617153">
        <w:rPr>
          <w:rFonts w:ascii="Century Gothic" w:hAnsi="Century Gothic"/>
          <w:sz w:val="22"/>
          <w:szCs w:val="22"/>
        </w:rPr>
        <w:t>. E</w:t>
      </w:r>
      <w:r w:rsidRPr="00617153">
        <w:rPr>
          <w:rFonts w:ascii="Century Gothic" w:hAnsi="Century Gothic"/>
          <w:sz w:val="22"/>
          <w:szCs w:val="22"/>
        </w:rPr>
        <w:t>n blandning av greker, judar, armeni</w:t>
      </w:r>
      <w:r w:rsidR="009B4308" w:rsidRPr="00617153">
        <w:rPr>
          <w:rFonts w:ascii="Century Gothic" w:hAnsi="Century Gothic"/>
          <w:sz w:val="22"/>
          <w:szCs w:val="22"/>
        </w:rPr>
        <w:t xml:space="preserve">er, fransmän och italienare har alla </w:t>
      </w:r>
      <w:r w:rsidRPr="00617153">
        <w:rPr>
          <w:rFonts w:ascii="Century Gothic" w:hAnsi="Century Gothic"/>
          <w:sz w:val="22"/>
          <w:szCs w:val="22"/>
        </w:rPr>
        <w:t>ka</w:t>
      </w:r>
      <w:r w:rsidR="009B4308" w:rsidRPr="00617153">
        <w:rPr>
          <w:rFonts w:ascii="Century Gothic" w:hAnsi="Century Gothic"/>
          <w:sz w:val="22"/>
          <w:szCs w:val="22"/>
        </w:rPr>
        <w:t xml:space="preserve">llat det </w:t>
      </w:r>
      <w:r w:rsidRPr="00617153">
        <w:rPr>
          <w:rFonts w:ascii="Century Gothic" w:hAnsi="Century Gothic"/>
          <w:sz w:val="22"/>
          <w:szCs w:val="22"/>
        </w:rPr>
        <w:t xml:space="preserve">hem under </w:t>
      </w:r>
      <w:r w:rsidR="009B4308" w:rsidRPr="00617153">
        <w:rPr>
          <w:rFonts w:ascii="Century Gothic" w:hAnsi="Century Gothic"/>
          <w:sz w:val="22"/>
          <w:szCs w:val="22"/>
        </w:rPr>
        <w:t xml:space="preserve">stadens </w:t>
      </w:r>
      <w:r w:rsidR="00A04C79" w:rsidRPr="00617153">
        <w:rPr>
          <w:rFonts w:ascii="Century Gothic" w:hAnsi="Century Gothic"/>
          <w:sz w:val="22"/>
          <w:szCs w:val="22"/>
        </w:rPr>
        <w:t>över femtusen år. Ett besök till Izmir i juni ger möjlighet att</w:t>
      </w:r>
      <w:r w:rsidRPr="00617153">
        <w:rPr>
          <w:rFonts w:ascii="Century Gothic" w:hAnsi="Century Gothic"/>
          <w:sz w:val="22"/>
          <w:szCs w:val="22"/>
        </w:rPr>
        <w:t xml:space="preserve"> uppleva Turkiets främsta kulturella fest, Izmir Festival, som erbjuder en mix av klassisk och modern balett, teater och musik</w:t>
      </w:r>
      <w:r w:rsidR="00A859A4" w:rsidRPr="00617153">
        <w:rPr>
          <w:rFonts w:ascii="Century Gothic" w:hAnsi="Century Gothic"/>
          <w:sz w:val="22"/>
          <w:szCs w:val="22"/>
        </w:rPr>
        <w:t xml:space="preserve"> i ett lagom varmt väder. </w:t>
      </w:r>
      <w:r w:rsidR="00A859A4" w:rsidRPr="00617153">
        <w:rPr>
          <w:rFonts w:ascii="Century Gothic" w:hAnsi="Century Gothic"/>
          <w:sz w:val="22"/>
          <w:szCs w:val="22"/>
        </w:rPr>
        <w:br/>
      </w:r>
      <w:r w:rsidR="00A859A4" w:rsidRPr="00617153">
        <w:rPr>
          <w:rFonts w:ascii="Century Gothic" w:hAnsi="Century Gothic"/>
          <w:sz w:val="22"/>
          <w:szCs w:val="22"/>
        </w:rPr>
        <w:br/>
      </w:r>
      <w:r w:rsidR="00A859A4" w:rsidRPr="00617153">
        <w:rPr>
          <w:rFonts w:ascii="Century Gothic" w:hAnsi="Century Gothic"/>
          <w:b/>
          <w:sz w:val="22"/>
          <w:szCs w:val="22"/>
        </w:rPr>
        <w:t>Juli</w:t>
      </w:r>
      <w:r w:rsidR="00A04C79" w:rsidRPr="00617153">
        <w:rPr>
          <w:rFonts w:ascii="Century Gothic" w:hAnsi="Century Gothic"/>
          <w:b/>
          <w:sz w:val="22"/>
          <w:szCs w:val="22"/>
        </w:rPr>
        <w:t>, Budapest/Ungern</w:t>
      </w:r>
    </w:p>
    <w:p w14:paraId="79AAC3AE" w14:textId="7DDED0B8" w:rsidR="00A859A4" w:rsidRPr="00617153" w:rsidRDefault="0018457D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t>Budapest</w:t>
      </w:r>
      <w:r w:rsidR="00A859A4" w:rsidRPr="00617153">
        <w:rPr>
          <w:rFonts w:ascii="Century Gothic" w:hAnsi="Century Gothic"/>
          <w:sz w:val="22"/>
          <w:szCs w:val="22"/>
        </w:rPr>
        <w:t xml:space="preserve"> är staden</w:t>
      </w:r>
      <w:r w:rsidRPr="00617153">
        <w:rPr>
          <w:rFonts w:ascii="Century Gothic" w:hAnsi="Century Gothic"/>
          <w:sz w:val="22"/>
          <w:szCs w:val="22"/>
        </w:rPr>
        <w:t xml:space="preserve"> som</w:t>
      </w:r>
      <w:r w:rsidR="00A859A4" w:rsidRPr="00617153">
        <w:rPr>
          <w:rFonts w:ascii="Century Gothic" w:hAnsi="Century Gothic"/>
          <w:sz w:val="22"/>
          <w:szCs w:val="22"/>
        </w:rPr>
        <w:t xml:space="preserve"> </w:t>
      </w:r>
      <w:r w:rsidR="00A04C79" w:rsidRPr="00617153">
        <w:rPr>
          <w:rFonts w:ascii="Century Gothic" w:hAnsi="Century Gothic"/>
          <w:sz w:val="22"/>
          <w:szCs w:val="22"/>
        </w:rPr>
        <w:t xml:space="preserve">växer i popularitet </w:t>
      </w:r>
      <w:r w:rsidR="00A859A4" w:rsidRPr="00617153">
        <w:rPr>
          <w:rFonts w:ascii="Century Gothic" w:hAnsi="Century Gothic"/>
          <w:sz w:val="22"/>
          <w:szCs w:val="22"/>
        </w:rPr>
        <w:t xml:space="preserve">för varje </w:t>
      </w:r>
      <w:r w:rsidR="009B4308" w:rsidRPr="00617153">
        <w:rPr>
          <w:rFonts w:ascii="Century Gothic" w:hAnsi="Century Gothic"/>
          <w:sz w:val="22"/>
          <w:szCs w:val="22"/>
        </w:rPr>
        <w:t xml:space="preserve">år och som dessutom erbjuder en </w:t>
      </w:r>
      <w:r w:rsidR="00A859A4" w:rsidRPr="00617153">
        <w:rPr>
          <w:rFonts w:ascii="Century Gothic" w:hAnsi="Century Gothic"/>
          <w:sz w:val="22"/>
          <w:szCs w:val="22"/>
        </w:rPr>
        <w:t>trevlig</w:t>
      </w:r>
      <w:r w:rsidR="009B4308" w:rsidRPr="00617153">
        <w:rPr>
          <w:rFonts w:ascii="Century Gothic" w:hAnsi="Century Gothic"/>
          <w:sz w:val="22"/>
          <w:szCs w:val="22"/>
        </w:rPr>
        <w:t xml:space="preserve"> vistelse</w:t>
      </w:r>
      <w:r w:rsidR="00A859A4" w:rsidRPr="00617153">
        <w:rPr>
          <w:rFonts w:ascii="Century Gothic" w:hAnsi="Century Gothic"/>
          <w:sz w:val="22"/>
          <w:szCs w:val="22"/>
        </w:rPr>
        <w:t xml:space="preserve"> för en liten </w:t>
      </w:r>
      <w:r w:rsidR="009B4308" w:rsidRPr="00617153">
        <w:rPr>
          <w:rFonts w:ascii="Century Gothic" w:hAnsi="Century Gothic"/>
          <w:sz w:val="22"/>
          <w:szCs w:val="22"/>
        </w:rPr>
        <w:t>slant.</w:t>
      </w:r>
      <w:r w:rsidR="00A04C79" w:rsidRPr="00617153">
        <w:rPr>
          <w:rFonts w:ascii="Century Gothic" w:hAnsi="Century Gothic"/>
          <w:sz w:val="22"/>
          <w:szCs w:val="22"/>
        </w:rPr>
        <w:t xml:space="preserve"> </w:t>
      </w:r>
      <w:r w:rsidRPr="00617153">
        <w:rPr>
          <w:rFonts w:ascii="Century Gothic" w:hAnsi="Century Gothic"/>
          <w:sz w:val="22"/>
          <w:szCs w:val="22"/>
        </w:rPr>
        <w:t>Budapest är bland annat känt för sina badhus och i</w:t>
      </w:r>
      <w:r w:rsidR="00A04C79" w:rsidRPr="00617153">
        <w:rPr>
          <w:rFonts w:ascii="Century Gothic" w:hAnsi="Century Gothic"/>
          <w:sz w:val="22"/>
          <w:szCs w:val="22"/>
        </w:rPr>
        <w:t xml:space="preserve"> juli är </w:t>
      </w:r>
      <w:r w:rsidRPr="00617153">
        <w:rPr>
          <w:rFonts w:ascii="Century Gothic" w:hAnsi="Century Gothic"/>
          <w:sz w:val="22"/>
          <w:szCs w:val="22"/>
        </w:rPr>
        <w:t xml:space="preserve">den ungerska huvudstaden </w:t>
      </w:r>
      <w:r w:rsidR="00A04C79" w:rsidRPr="00617153">
        <w:rPr>
          <w:rFonts w:ascii="Century Gothic" w:hAnsi="Century Gothic"/>
          <w:sz w:val="22"/>
          <w:szCs w:val="22"/>
        </w:rPr>
        <w:t xml:space="preserve">staden som </w:t>
      </w:r>
      <w:r w:rsidRPr="00617153">
        <w:rPr>
          <w:rFonts w:ascii="Century Gothic" w:hAnsi="Century Gothic"/>
          <w:sz w:val="22"/>
          <w:szCs w:val="22"/>
        </w:rPr>
        <w:t xml:space="preserve">allra </w:t>
      </w:r>
      <w:r w:rsidR="00A04C79" w:rsidRPr="00617153">
        <w:rPr>
          <w:rFonts w:ascii="Century Gothic" w:hAnsi="Century Gothic"/>
          <w:sz w:val="22"/>
          <w:szCs w:val="22"/>
        </w:rPr>
        <w:t>bäst - n</w:t>
      </w:r>
      <w:r w:rsidR="00A859A4" w:rsidRPr="00617153">
        <w:rPr>
          <w:rFonts w:ascii="Century Gothic" w:hAnsi="Century Gothic"/>
          <w:sz w:val="22"/>
          <w:szCs w:val="22"/>
        </w:rPr>
        <w:t>jut av parker, museum och antikbutiker mellan café- och restaurangbesök.</w:t>
      </w:r>
      <w:r w:rsidRPr="00617153">
        <w:rPr>
          <w:rFonts w:ascii="Century Gothic" w:hAnsi="Century Gothic"/>
          <w:sz w:val="22"/>
          <w:szCs w:val="22"/>
        </w:rPr>
        <w:t xml:space="preserve"> </w:t>
      </w:r>
    </w:p>
    <w:p w14:paraId="053136E9" w14:textId="77777777" w:rsidR="00610F5D" w:rsidRPr="00617153" w:rsidRDefault="00610F5D">
      <w:pPr>
        <w:rPr>
          <w:rFonts w:ascii="Century Gothic" w:hAnsi="Century Gothic"/>
          <w:sz w:val="22"/>
          <w:szCs w:val="22"/>
        </w:rPr>
      </w:pPr>
    </w:p>
    <w:p w14:paraId="4C143F91" w14:textId="77777777" w:rsidR="00A859A4" w:rsidRPr="00617153" w:rsidRDefault="00A04C79">
      <w:pPr>
        <w:rPr>
          <w:rFonts w:ascii="Century Gothic" w:hAnsi="Century Gothic"/>
          <w:b/>
          <w:sz w:val="22"/>
          <w:szCs w:val="22"/>
        </w:rPr>
      </w:pPr>
      <w:r w:rsidRPr="00617153">
        <w:rPr>
          <w:rFonts w:ascii="Century Gothic" w:hAnsi="Century Gothic"/>
          <w:b/>
          <w:sz w:val="22"/>
          <w:szCs w:val="22"/>
        </w:rPr>
        <w:t>Augusti, Porto/Portugal</w:t>
      </w:r>
    </w:p>
    <w:p w14:paraId="3FD77CFC" w14:textId="2BCBF414" w:rsidR="00A859A4" w:rsidRPr="00617153" w:rsidRDefault="00A859A4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t xml:space="preserve">Det </w:t>
      </w:r>
      <w:r w:rsidR="00A04C79" w:rsidRPr="00617153">
        <w:rPr>
          <w:rFonts w:ascii="Century Gothic" w:hAnsi="Century Gothic"/>
          <w:sz w:val="22"/>
          <w:szCs w:val="22"/>
        </w:rPr>
        <w:t>är svårt att hitta en</w:t>
      </w:r>
      <w:r w:rsidRPr="00617153">
        <w:rPr>
          <w:rFonts w:ascii="Century Gothic" w:hAnsi="Century Gothic"/>
          <w:sz w:val="22"/>
          <w:szCs w:val="22"/>
        </w:rPr>
        <w:t xml:space="preserve"> bättre budgetdestination i Europa under sommaren än Porto</w:t>
      </w:r>
      <w:r w:rsidR="009B4308" w:rsidRPr="00617153">
        <w:rPr>
          <w:rFonts w:ascii="Century Gothic" w:hAnsi="Century Gothic"/>
          <w:sz w:val="22"/>
          <w:szCs w:val="22"/>
        </w:rPr>
        <w:t>. Porto är</w:t>
      </w:r>
      <w:r w:rsidRPr="00617153">
        <w:rPr>
          <w:rFonts w:ascii="Century Gothic" w:hAnsi="Century Gothic"/>
          <w:sz w:val="22"/>
          <w:szCs w:val="22"/>
        </w:rPr>
        <w:t xml:space="preserve"> Portugals andrastad</w:t>
      </w:r>
      <w:r w:rsidR="009B4308" w:rsidRPr="00617153">
        <w:rPr>
          <w:rFonts w:ascii="Century Gothic" w:hAnsi="Century Gothic"/>
          <w:sz w:val="22"/>
          <w:szCs w:val="22"/>
        </w:rPr>
        <w:t xml:space="preserve"> och hem till fotbollsklubben FC Porto</w:t>
      </w:r>
      <w:r w:rsidRPr="00617153">
        <w:rPr>
          <w:rFonts w:ascii="Century Gothic" w:hAnsi="Century Gothic"/>
          <w:sz w:val="22"/>
          <w:szCs w:val="22"/>
        </w:rPr>
        <w:t xml:space="preserve">. Staden </w:t>
      </w:r>
      <w:r w:rsidR="009B4308" w:rsidRPr="00617153">
        <w:rPr>
          <w:rFonts w:ascii="Century Gothic" w:hAnsi="Century Gothic"/>
          <w:sz w:val="22"/>
          <w:szCs w:val="22"/>
        </w:rPr>
        <w:t xml:space="preserve">som </w:t>
      </w:r>
      <w:proofErr w:type="gramStart"/>
      <w:r w:rsidR="009B4308" w:rsidRPr="00617153">
        <w:rPr>
          <w:rFonts w:ascii="Century Gothic" w:hAnsi="Century Gothic"/>
          <w:sz w:val="22"/>
          <w:szCs w:val="22"/>
        </w:rPr>
        <w:t>är</w:t>
      </w:r>
      <w:proofErr w:type="gramEnd"/>
      <w:r w:rsidR="009B4308" w:rsidRPr="00617153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9B4308" w:rsidRPr="00617153">
        <w:rPr>
          <w:rFonts w:ascii="Century Gothic" w:hAnsi="Century Gothic"/>
          <w:sz w:val="22"/>
          <w:szCs w:val="22"/>
        </w:rPr>
        <w:t>belägen</w:t>
      </w:r>
      <w:proofErr w:type="gramEnd"/>
      <w:r w:rsidR="009B4308" w:rsidRPr="00617153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9B4308" w:rsidRPr="00617153">
        <w:rPr>
          <w:rFonts w:ascii="Century Gothic" w:hAnsi="Century Gothic"/>
          <w:sz w:val="22"/>
          <w:szCs w:val="22"/>
        </w:rPr>
        <w:t>i</w:t>
      </w:r>
      <w:proofErr w:type="gramEnd"/>
      <w:r w:rsidR="009B4308" w:rsidRPr="00617153">
        <w:rPr>
          <w:rFonts w:ascii="Century Gothic" w:hAnsi="Century Gothic"/>
          <w:sz w:val="22"/>
          <w:szCs w:val="22"/>
        </w:rPr>
        <w:t xml:space="preserve"> den norra delen av landet </w:t>
      </w:r>
      <w:r w:rsidRPr="00617153">
        <w:rPr>
          <w:rFonts w:ascii="Century Gothic" w:hAnsi="Century Gothic"/>
          <w:sz w:val="22"/>
          <w:szCs w:val="22"/>
        </w:rPr>
        <w:t>är både romantiskt och hä</w:t>
      </w:r>
      <w:r w:rsidR="00A04C79" w:rsidRPr="00617153">
        <w:rPr>
          <w:rFonts w:ascii="Century Gothic" w:hAnsi="Century Gothic"/>
          <w:sz w:val="22"/>
          <w:szCs w:val="22"/>
        </w:rPr>
        <w:t>ndelserik, dessutom serveras</w:t>
      </w:r>
      <w:r w:rsidRPr="00617153">
        <w:rPr>
          <w:rFonts w:ascii="Century Gothic" w:hAnsi="Century Gothic"/>
          <w:sz w:val="22"/>
          <w:szCs w:val="22"/>
        </w:rPr>
        <w:t xml:space="preserve"> god mat, vin och kaffe i </w:t>
      </w:r>
      <w:r w:rsidR="00A04C79" w:rsidRPr="00617153">
        <w:rPr>
          <w:rFonts w:ascii="Century Gothic" w:hAnsi="Century Gothic"/>
          <w:sz w:val="22"/>
          <w:szCs w:val="22"/>
        </w:rPr>
        <w:t xml:space="preserve">stadens </w:t>
      </w:r>
      <w:r w:rsidRPr="00617153">
        <w:rPr>
          <w:rFonts w:ascii="Century Gothic" w:hAnsi="Century Gothic"/>
          <w:sz w:val="22"/>
          <w:szCs w:val="22"/>
        </w:rPr>
        <w:t>bildskön</w:t>
      </w:r>
      <w:r w:rsidR="00A04C79" w:rsidRPr="00617153">
        <w:rPr>
          <w:rFonts w:ascii="Century Gothic" w:hAnsi="Century Gothic"/>
          <w:sz w:val="22"/>
          <w:szCs w:val="22"/>
        </w:rPr>
        <w:t>a miljö.</w:t>
      </w:r>
      <w:r w:rsidR="009B4308" w:rsidRPr="00617153">
        <w:rPr>
          <w:rFonts w:ascii="Century Gothic" w:hAnsi="Century Gothic"/>
          <w:sz w:val="22"/>
          <w:szCs w:val="22"/>
        </w:rPr>
        <w:t xml:space="preserve"> </w:t>
      </w:r>
    </w:p>
    <w:p w14:paraId="66B06766" w14:textId="77777777" w:rsidR="00A859A4" w:rsidRPr="00617153" w:rsidRDefault="00A859A4">
      <w:pPr>
        <w:rPr>
          <w:rFonts w:ascii="Century Gothic" w:hAnsi="Century Gothic"/>
          <w:sz w:val="22"/>
          <w:szCs w:val="22"/>
        </w:rPr>
      </w:pPr>
    </w:p>
    <w:p w14:paraId="187B9E61" w14:textId="77777777" w:rsidR="00A859A4" w:rsidRPr="00617153" w:rsidRDefault="00A859A4">
      <w:pPr>
        <w:rPr>
          <w:rFonts w:ascii="Century Gothic" w:hAnsi="Century Gothic"/>
          <w:b/>
          <w:sz w:val="22"/>
          <w:szCs w:val="22"/>
        </w:rPr>
      </w:pPr>
      <w:r w:rsidRPr="00617153">
        <w:rPr>
          <w:rFonts w:ascii="Century Gothic" w:hAnsi="Century Gothic"/>
          <w:b/>
          <w:sz w:val="22"/>
          <w:szCs w:val="22"/>
        </w:rPr>
        <w:t>September</w:t>
      </w:r>
      <w:r w:rsidR="00A04C79" w:rsidRPr="00617153">
        <w:rPr>
          <w:rFonts w:ascii="Century Gothic" w:hAnsi="Century Gothic"/>
          <w:b/>
          <w:sz w:val="22"/>
          <w:szCs w:val="22"/>
        </w:rPr>
        <w:t>, Oaxaca/Mexico</w:t>
      </w:r>
    </w:p>
    <w:p w14:paraId="2CA35ED6" w14:textId="412492CD" w:rsidR="00610F5D" w:rsidRPr="00617153" w:rsidRDefault="006929F4" w:rsidP="004B4763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t>Omgiven av dalar och mineralkällo</w:t>
      </w:r>
      <w:r w:rsidR="00A04C79" w:rsidRPr="00617153">
        <w:rPr>
          <w:rFonts w:ascii="Century Gothic" w:hAnsi="Century Gothic"/>
          <w:sz w:val="22"/>
          <w:szCs w:val="22"/>
        </w:rPr>
        <w:t>r är Oaxaca på tröskeln till en</w:t>
      </w:r>
      <w:r w:rsidRPr="00617153">
        <w:rPr>
          <w:rFonts w:ascii="Century Gothic" w:hAnsi="Century Gothic"/>
          <w:sz w:val="22"/>
          <w:szCs w:val="22"/>
        </w:rPr>
        <w:t xml:space="preserve"> av Latinamerikas finaste arkeologiska platser, Monte Alban, en stad som byggdes 500 före kristus. Staden är billig</w:t>
      </w:r>
      <w:r w:rsidR="009B4308" w:rsidRPr="00617153">
        <w:rPr>
          <w:rFonts w:ascii="Century Gothic" w:hAnsi="Century Gothic"/>
          <w:sz w:val="22"/>
          <w:szCs w:val="22"/>
        </w:rPr>
        <w:t xml:space="preserve"> att turista i</w:t>
      </w:r>
      <w:r w:rsidRPr="00617153">
        <w:rPr>
          <w:rFonts w:ascii="Century Gothic" w:hAnsi="Century Gothic"/>
          <w:sz w:val="22"/>
          <w:szCs w:val="22"/>
        </w:rPr>
        <w:t xml:space="preserve">, </w:t>
      </w:r>
      <w:r w:rsidR="009B4308" w:rsidRPr="00617153">
        <w:rPr>
          <w:rFonts w:ascii="Century Gothic" w:hAnsi="Century Gothic"/>
          <w:sz w:val="22"/>
          <w:szCs w:val="22"/>
        </w:rPr>
        <w:t xml:space="preserve">är </w:t>
      </w:r>
      <w:r w:rsidRPr="00617153">
        <w:rPr>
          <w:rFonts w:ascii="Century Gothic" w:hAnsi="Century Gothic"/>
          <w:sz w:val="22"/>
          <w:szCs w:val="22"/>
        </w:rPr>
        <w:t xml:space="preserve">full med liv och ger en genuin överraskning. </w:t>
      </w:r>
      <w:r w:rsidR="00A04C79" w:rsidRPr="00617153">
        <w:rPr>
          <w:rFonts w:ascii="Century Gothic" w:hAnsi="Century Gothic"/>
          <w:sz w:val="22"/>
          <w:szCs w:val="22"/>
        </w:rPr>
        <w:t xml:space="preserve">September är den perfekta månaden för en prisvärd </w:t>
      </w:r>
      <w:r w:rsidR="009B4308" w:rsidRPr="00617153">
        <w:rPr>
          <w:rFonts w:ascii="Century Gothic" w:hAnsi="Century Gothic"/>
          <w:sz w:val="22"/>
          <w:szCs w:val="22"/>
        </w:rPr>
        <w:t>resa</w:t>
      </w:r>
      <w:r w:rsidR="00A04C79" w:rsidRPr="00617153">
        <w:rPr>
          <w:rFonts w:ascii="Century Gothic" w:hAnsi="Century Gothic"/>
          <w:sz w:val="22"/>
          <w:szCs w:val="22"/>
        </w:rPr>
        <w:t xml:space="preserve"> hit. </w:t>
      </w:r>
    </w:p>
    <w:p w14:paraId="1279FD6E" w14:textId="77777777" w:rsidR="006929F4" w:rsidRPr="00617153" w:rsidRDefault="006929F4">
      <w:pPr>
        <w:rPr>
          <w:rFonts w:ascii="Century Gothic" w:hAnsi="Century Gothic"/>
          <w:sz w:val="22"/>
          <w:szCs w:val="22"/>
        </w:rPr>
      </w:pPr>
    </w:p>
    <w:p w14:paraId="6CFC1596" w14:textId="77777777" w:rsidR="006929F4" w:rsidRPr="00617153" w:rsidRDefault="006929F4">
      <w:pPr>
        <w:rPr>
          <w:rFonts w:ascii="Century Gothic" w:hAnsi="Century Gothic"/>
          <w:b/>
          <w:sz w:val="22"/>
          <w:szCs w:val="22"/>
        </w:rPr>
      </w:pPr>
      <w:r w:rsidRPr="00617153">
        <w:rPr>
          <w:rFonts w:ascii="Century Gothic" w:hAnsi="Century Gothic"/>
          <w:b/>
          <w:sz w:val="22"/>
          <w:szCs w:val="22"/>
        </w:rPr>
        <w:t>Oktober</w:t>
      </w:r>
      <w:r w:rsidR="00A04C79" w:rsidRPr="00617153">
        <w:rPr>
          <w:rFonts w:ascii="Century Gothic" w:hAnsi="Century Gothic"/>
          <w:b/>
          <w:sz w:val="22"/>
          <w:szCs w:val="22"/>
        </w:rPr>
        <w:t>, Tunis/Tunisien</w:t>
      </w:r>
    </w:p>
    <w:p w14:paraId="52195A1D" w14:textId="005C5E2E" w:rsidR="00610F5D" w:rsidRPr="00617153" w:rsidRDefault="009B4308" w:rsidP="004B4763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t xml:space="preserve">Lagom till de kallare höstvindarna på hemmaplan lockar Tunisens huvudstad som en varm tillflyktsort. </w:t>
      </w:r>
      <w:r w:rsidR="006929F4" w:rsidRPr="00617153">
        <w:rPr>
          <w:rFonts w:ascii="Century Gothic" w:hAnsi="Century Gothic"/>
          <w:sz w:val="22"/>
          <w:szCs w:val="22"/>
        </w:rPr>
        <w:t xml:space="preserve">Förutom att </w:t>
      </w:r>
      <w:r w:rsidR="00AC6D9E" w:rsidRPr="00617153">
        <w:rPr>
          <w:rFonts w:ascii="Century Gothic" w:hAnsi="Century Gothic"/>
          <w:sz w:val="22"/>
          <w:szCs w:val="22"/>
        </w:rPr>
        <w:t>Tunis är en</w:t>
      </w:r>
      <w:r w:rsidR="00A04C79" w:rsidRPr="00617153">
        <w:rPr>
          <w:rFonts w:ascii="Century Gothic" w:hAnsi="Century Gothic"/>
          <w:sz w:val="22"/>
          <w:szCs w:val="22"/>
        </w:rPr>
        <w:t xml:space="preserve"> </w:t>
      </w:r>
      <w:r w:rsidR="006929F4" w:rsidRPr="00617153">
        <w:rPr>
          <w:rFonts w:ascii="Century Gothic" w:hAnsi="Century Gothic"/>
          <w:sz w:val="22"/>
          <w:szCs w:val="22"/>
        </w:rPr>
        <w:t xml:space="preserve">av Nordafrikas mest spännande städer är </w:t>
      </w:r>
      <w:r w:rsidR="00A04C79" w:rsidRPr="00617153">
        <w:rPr>
          <w:rFonts w:ascii="Century Gothic" w:hAnsi="Century Gothic"/>
          <w:sz w:val="22"/>
          <w:szCs w:val="22"/>
        </w:rPr>
        <w:t xml:space="preserve">staden </w:t>
      </w:r>
      <w:r w:rsidR="006929F4" w:rsidRPr="00617153">
        <w:rPr>
          <w:rFonts w:ascii="Century Gothic" w:hAnsi="Century Gothic"/>
          <w:sz w:val="22"/>
          <w:szCs w:val="22"/>
        </w:rPr>
        <w:t>perfekt för r</w:t>
      </w:r>
      <w:r w:rsidR="00A04C79" w:rsidRPr="00617153">
        <w:rPr>
          <w:rFonts w:ascii="Century Gothic" w:hAnsi="Century Gothic"/>
          <w:sz w:val="22"/>
          <w:szCs w:val="22"/>
        </w:rPr>
        <w:t xml:space="preserve">esenärer med liten reskassa. Stadens många souker erbjuder både rolig och billig shopping. </w:t>
      </w:r>
    </w:p>
    <w:p w14:paraId="31A2E640" w14:textId="77777777" w:rsidR="00610F5D" w:rsidRPr="00617153" w:rsidRDefault="00610F5D">
      <w:pPr>
        <w:rPr>
          <w:rFonts w:ascii="Century Gothic" w:hAnsi="Century Gothic"/>
          <w:sz w:val="22"/>
          <w:szCs w:val="22"/>
        </w:rPr>
      </w:pPr>
    </w:p>
    <w:p w14:paraId="5167E550" w14:textId="77777777" w:rsidR="007A5C19" w:rsidRPr="00617153" w:rsidRDefault="007A5C19">
      <w:pPr>
        <w:rPr>
          <w:rFonts w:ascii="Century Gothic" w:hAnsi="Century Gothic"/>
          <w:b/>
          <w:sz w:val="22"/>
          <w:szCs w:val="22"/>
        </w:rPr>
      </w:pPr>
      <w:r w:rsidRPr="00617153">
        <w:rPr>
          <w:rFonts w:ascii="Century Gothic" w:hAnsi="Century Gothic"/>
          <w:b/>
          <w:sz w:val="22"/>
          <w:szCs w:val="22"/>
        </w:rPr>
        <w:t>November</w:t>
      </w:r>
      <w:r w:rsidR="00AF3530" w:rsidRPr="00617153">
        <w:rPr>
          <w:rFonts w:ascii="Century Gothic" w:hAnsi="Century Gothic"/>
          <w:b/>
          <w:sz w:val="22"/>
          <w:szCs w:val="22"/>
        </w:rPr>
        <w:t>, Kapstaden/Sydafrika</w:t>
      </w:r>
    </w:p>
    <w:p w14:paraId="19D51385" w14:textId="7E13BE5D" w:rsidR="007A5C19" w:rsidRPr="00617153" w:rsidRDefault="007A5C19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t>Sydafrika</w:t>
      </w:r>
      <w:r w:rsidR="009B4308" w:rsidRPr="00617153">
        <w:rPr>
          <w:rFonts w:ascii="Century Gothic" w:hAnsi="Century Gothic"/>
          <w:sz w:val="22"/>
          <w:szCs w:val="22"/>
        </w:rPr>
        <w:t>nska Kapstaden</w:t>
      </w:r>
      <w:r w:rsidRPr="00617153">
        <w:rPr>
          <w:rFonts w:ascii="Century Gothic" w:hAnsi="Century Gothic"/>
          <w:sz w:val="22"/>
          <w:szCs w:val="22"/>
        </w:rPr>
        <w:t>, ”The M</w:t>
      </w:r>
      <w:r w:rsidR="00A04C79" w:rsidRPr="00617153">
        <w:rPr>
          <w:rFonts w:ascii="Century Gothic" w:hAnsi="Century Gothic"/>
          <w:sz w:val="22"/>
          <w:szCs w:val="22"/>
        </w:rPr>
        <w:t>other City”</w:t>
      </w:r>
      <w:r w:rsidR="009B4308" w:rsidRPr="00617153">
        <w:rPr>
          <w:rFonts w:ascii="Century Gothic" w:hAnsi="Century Gothic"/>
          <w:sz w:val="22"/>
          <w:szCs w:val="22"/>
        </w:rPr>
        <w:t>, har någ</w:t>
      </w:r>
      <w:r w:rsidR="006969A1" w:rsidRPr="00617153">
        <w:rPr>
          <w:rFonts w:ascii="Century Gothic" w:hAnsi="Century Gothic"/>
          <w:sz w:val="22"/>
          <w:szCs w:val="22"/>
        </w:rPr>
        <w:t>ot för alla, s</w:t>
      </w:r>
      <w:r w:rsidRPr="00617153">
        <w:rPr>
          <w:rFonts w:ascii="Century Gothic" w:hAnsi="Century Gothic"/>
          <w:sz w:val="22"/>
          <w:szCs w:val="22"/>
        </w:rPr>
        <w:t xml:space="preserve">port och aktiviteter, bad och stränder, </w:t>
      </w:r>
      <w:r w:rsidR="00A04C79" w:rsidRPr="00617153">
        <w:rPr>
          <w:rFonts w:ascii="Century Gothic" w:hAnsi="Century Gothic"/>
          <w:sz w:val="22"/>
          <w:szCs w:val="22"/>
        </w:rPr>
        <w:t>historia och konstscen</w:t>
      </w:r>
      <w:r w:rsidR="006969A1" w:rsidRPr="00617153">
        <w:rPr>
          <w:rFonts w:ascii="Century Gothic" w:hAnsi="Century Gothic"/>
          <w:sz w:val="22"/>
          <w:szCs w:val="22"/>
        </w:rPr>
        <w:t xml:space="preserve"> samt mat och vin.</w:t>
      </w:r>
      <w:r w:rsidR="00A04C79" w:rsidRPr="00617153">
        <w:rPr>
          <w:rFonts w:ascii="Century Gothic" w:hAnsi="Century Gothic"/>
          <w:sz w:val="22"/>
          <w:szCs w:val="22"/>
        </w:rPr>
        <w:t xml:space="preserve"> </w:t>
      </w:r>
      <w:r w:rsidR="006969A1" w:rsidRPr="00617153">
        <w:rPr>
          <w:rFonts w:ascii="Century Gothic" w:hAnsi="Century Gothic"/>
          <w:sz w:val="22"/>
          <w:szCs w:val="22"/>
        </w:rPr>
        <w:t xml:space="preserve">Förutom prisvärd är </w:t>
      </w:r>
      <w:r w:rsidRPr="00617153">
        <w:rPr>
          <w:rFonts w:ascii="Century Gothic" w:hAnsi="Century Gothic"/>
          <w:sz w:val="22"/>
          <w:szCs w:val="22"/>
        </w:rPr>
        <w:t xml:space="preserve">Kapstaden är trendig, vänlig </w:t>
      </w:r>
      <w:r w:rsidR="006969A1" w:rsidRPr="00617153">
        <w:rPr>
          <w:rFonts w:ascii="Century Gothic" w:hAnsi="Century Gothic"/>
          <w:sz w:val="22"/>
          <w:szCs w:val="22"/>
        </w:rPr>
        <w:t>och innovativ. I november bjuds här på</w:t>
      </w:r>
      <w:r w:rsidRPr="00617153">
        <w:rPr>
          <w:rFonts w:ascii="Century Gothic" w:hAnsi="Century Gothic"/>
          <w:sz w:val="22"/>
          <w:szCs w:val="22"/>
        </w:rPr>
        <w:t xml:space="preserve"> behagligt varmt väder</w:t>
      </w:r>
      <w:r w:rsidR="006969A1" w:rsidRPr="00617153">
        <w:rPr>
          <w:rFonts w:ascii="Century Gothic" w:hAnsi="Century Gothic"/>
          <w:sz w:val="22"/>
          <w:szCs w:val="22"/>
        </w:rPr>
        <w:t xml:space="preserve">, svag vind </w:t>
      </w:r>
      <w:r w:rsidR="00A04C79" w:rsidRPr="00617153">
        <w:rPr>
          <w:rFonts w:ascii="Century Gothic" w:hAnsi="Century Gothic"/>
          <w:sz w:val="22"/>
          <w:szCs w:val="22"/>
        </w:rPr>
        <w:t>och begränsad nederbörd.</w:t>
      </w:r>
    </w:p>
    <w:p w14:paraId="0930197C" w14:textId="77777777" w:rsidR="007A5C19" w:rsidRPr="00617153" w:rsidRDefault="007A5C19">
      <w:pPr>
        <w:rPr>
          <w:rFonts w:ascii="Century Gothic" w:hAnsi="Century Gothic"/>
          <w:sz w:val="22"/>
          <w:szCs w:val="22"/>
        </w:rPr>
      </w:pPr>
    </w:p>
    <w:p w14:paraId="154E6C5D" w14:textId="77777777" w:rsidR="007A5C19" w:rsidRPr="00617153" w:rsidRDefault="007A5C19">
      <w:pPr>
        <w:rPr>
          <w:rFonts w:ascii="Century Gothic" w:hAnsi="Century Gothic"/>
          <w:b/>
          <w:sz w:val="22"/>
          <w:szCs w:val="22"/>
        </w:rPr>
      </w:pPr>
      <w:r w:rsidRPr="00617153">
        <w:rPr>
          <w:rFonts w:ascii="Century Gothic" w:hAnsi="Century Gothic"/>
          <w:b/>
          <w:sz w:val="22"/>
          <w:szCs w:val="22"/>
        </w:rPr>
        <w:t>December</w:t>
      </w:r>
      <w:r w:rsidR="00AF3530" w:rsidRPr="00617153">
        <w:rPr>
          <w:rFonts w:ascii="Century Gothic" w:hAnsi="Century Gothic"/>
          <w:b/>
          <w:sz w:val="22"/>
          <w:szCs w:val="22"/>
        </w:rPr>
        <w:t>, Colombo/Sri Lanka</w:t>
      </w:r>
    </w:p>
    <w:p w14:paraId="1AD7CF70" w14:textId="023DD3B8" w:rsidR="00610F5D" w:rsidRDefault="007A5C19">
      <w:pPr>
        <w:rPr>
          <w:rFonts w:ascii="Century Gothic" w:hAnsi="Century Gothic"/>
          <w:sz w:val="22"/>
          <w:szCs w:val="22"/>
        </w:rPr>
      </w:pPr>
      <w:r w:rsidRPr="00617153">
        <w:rPr>
          <w:rFonts w:ascii="Century Gothic" w:hAnsi="Century Gothic"/>
          <w:sz w:val="22"/>
          <w:szCs w:val="22"/>
        </w:rPr>
        <w:t xml:space="preserve">Sri Lankas metropol, Colombo, har förvandlats till en enkel men cool semesterplats som avrundar året med </w:t>
      </w:r>
      <w:r w:rsidR="006969A1" w:rsidRPr="00617153">
        <w:rPr>
          <w:rFonts w:ascii="Century Gothic" w:hAnsi="Century Gothic"/>
          <w:sz w:val="22"/>
          <w:szCs w:val="22"/>
        </w:rPr>
        <w:t xml:space="preserve">hjälp av </w:t>
      </w:r>
      <w:r w:rsidRPr="00617153">
        <w:rPr>
          <w:rFonts w:ascii="Century Gothic" w:hAnsi="Century Gothic"/>
          <w:sz w:val="22"/>
          <w:szCs w:val="22"/>
        </w:rPr>
        <w:t>fantastisk mat och surrande nattliv till löjligt låga priser. Staden erbjuder allt från meditation</w:t>
      </w:r>
      <w:r w:rsidR="00297F3C" w:rsidRPr="00617153">
        <w:rPr>
          <w:rFonts w:ascii="Century Gothic" w:hAnsi="Century Gothic"/>
          <w:sz w:val="22"/>
          <w:szCs w:val="22"/>
        </w:rPr>
        <w:t xml:space="preserve"> </w:t>
      </w:r>
      <w:r w:rsidRPr="00617153">
        <w:rPr>
          <w:rFonts w:ascii="Century Gothic" w:hAnsi="Century Gothic"/>
          <w:sz w:val="22"/>
          <w:szCs w:val="22"/>
        </w:rPr>
        <w:t>ti</w:t>
      </w:r>
      <w:r w:rsidR="00297F3C" w:rsidRPr="00617153">
        <w:rPr>
          <w:rFonts w:ascii="Century Gothic" w:hAnsi="Century Gothic"/>
          <w:sz w:val="22"/>
          <w:szCs w:val="22"/>
        </w:rPr>
        <w:t xml:space="preserve">ll fusion food-restauranger och december är den perfekta månaden för ett besök här. </w:t>
      </w:r>
    </w:p>
    <w:p w14:paraId="1D4EC84E" w14:textId="77777777" w:rsidR="00617153" w:rsidRDefault="00617153">
      <w:pPr>
        <w:rPr>
          <w:rFonts w:ascii="Century Gothic" w:hAnsi="Century Gothic"/>
          <w:sz w:val="22"/>
          <w:szCs w:val="22"/>
        </w:rPr>
      </w:pPr>
    </w:p>
    <w:p w14:paraId="05776455" w14:textId="080E9A2E" w:rsidR="00617153" w:rsidRPr="00617153" w:rsidRDefault="00617153">
      <w:pPr>
        <w:rPr>
          <w:rFonts w:ascii="Century Gothic" w:hAnsi="Century Gothic"/>
          <w:b/>
          <w:sz w:val="22"/>
          <w:szCs w:val="22"/>
        </w:rPr>
      </w:pPr>
      <w:r w:rsidRPr="00617153">
        <w:rPr>
          <w:rFonts w:ascii="Century Gothic" w:hAnsi="Century Gothic"/>
          <w:b/>
          <w:sz w:val="22"/>
          <w:szCs w:val="22"/>
        </w:rPr>
        <w:lastRenderedPageBreak/>
        <w:t>2015-års mest prisvärda destinationer</w:t>
      </w:r>
      <w:r>
        <w:rPr>
          <w:rFonts w:ascii="Century Gothic" w:hAnsi="Century Gothic"/>
          <w:b/>
          <w:sz w:val="22"/>
          <w:szCs w:val="22"/>
        </w:rPr>
        <w:t>:</w:t>
      </w:r>
    </w:p>
    <w:tbl>
      <w:tblPr>
        <w:tblW w:w="4508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276"/>
        <w:gridCol w:w="1276"/>
        <w:gridCol w:w="1417"/>
        <w:gridCol w:w="1420"/>
        <w:gridCol w:w="1133"/>
      </w:tblGrid>
      <w:tr w:rsidR="0018457D" w:rsidRPr="0018457D" w14:paraId="7508227C" w14:textId="77777777" w:rsidTr="0018457D">
        <w:trPr>
          <w:trHeight w:val="1055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3DC770" w14:textId="77777777" w:rsidR="00297F3C" w:rsidRPr="0018457D" w:rsidRDefault="00297F3C" w:rsidP="0018457D">
            <w:pPr>
              <w:spacing w:before="120" w:after="120"/>
              <w:ind w:left="120" w:right="120"/>
              <w:jc w:val="center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  <w:t>Destination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190608" w14:textId="77777777" w:rsidR="00297F3C" w:rsidRPr="0018457D" w:rsidRDefault="00297F3C" w:rsidP="0018457D">
            <w:pPr>
              <w:spacing w:before="120" w:after="120"/>
              <w:ind w:right="120"/>
              <w:jc w:val="center"/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  <w:t>1 km taxiresa</w:t>
            </w:r>
          </w:p>
          <w:p w14:paraId="28091B6D" w14:textId="77777777" w:rsidR="00705F60" w:rsidRPr="0018457D" w:rsidRDefault="00705F60" w:rsidP="0018457D">
            <w:pPr>
              <w:spacing w:before="120" w:after="120"/>
              <w:ind w:left="120" w:right="120"/>
              <w:jc w:val="center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  <w:t>(SEK)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6DF91F" w14:textId="72DE7502" w:rsidR="00297F3C" w:rsidRPr="0018457D" w:rsidRDefault="00297F3C" w:rsidP="0018457D">
            <w:pPr>
              <w:spacing w:before="120" w:after="120"/>
              <w:ind w:right="120"/>
              <w:jc w:val="center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  <w:t>1 inhemsk öl</w:t>
            </w:r>
            <w:r w:rsidR="00705F60" w:rsidRPr="0018457D"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  <w:t xml:space="preserve"> (SEK)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FAC98B" w14:textId="77777777" w:rsidR="00297F3C" w:rsidRPr="0018457D" w:rsidRDefault="00297F3C" w:rsidP="0018457D">
            <w:pPr>
              <w:spacing w:before="120" w:after="120"/>
              <w:ind w:right="120"/>
              <w:jc w:val="center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  <w:t>1 mål mat på en billig restaurang</w:t>
            </w:r>
            <w:r w:rsidR="00705F60" w:rsidRPr="0018457D"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  <w:t xml:space="preserve"> (SEK)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112A493" w14:textId="77777777" w:rsidR="00297F3C" w:rsidRPr="0018457D" w:rsidRDefault="00297F3C" w:rsidP="0018457D">
            <w:pPr>
              <w:spacing w:before="120" w:after="120"/>
              <w:ind w:left="120" w:right="120"/>
              <w:jc w:val="center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  <w:t>1 natt på ett 3-stjärnigt hotell</w:t>
            </w:r>
            <w:r w:rsidR="00705F60" w:rsidRPr="0018457D"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  <w:t xml:space="preserve"> (SEK)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B0250B2" w14:textId="77777777" w:rsidR="0018457D" w:rsidRDefault="0018457D" w:rsidP="0018457D">
            <w:pPr>
              <w:spacing w:before="120" w:after="120"/>
              <w:ind w:right="120"/>
              <w:jc w:val="center"/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C9D991F" w14:textId="77777777" w:rsidR="00297F3C" w:rsidRPr="0018457D" w:rsidRDefault="00297F3C" w:rsidP="0018457D">
            <w:pPr>
              <w:spacing w:before="120" w:after="120"/>
              <w:ind w:right="120"/>
              <w:jc w:val="center"/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  <w:r w:rsidR="00705F60" w:rsidRPr="0018457D">
              <w:rPr>
                <w:rFonts w:ascii="Century Gothic" w:eastAsia="Times New Roman" w:hAnsi="Century Gothic" w:cs="Gisha"/>
                <w:b/>
                <w:bCs/>
                <w:color w:val="000000"/>
                <w:sz w:val="16"/>
                <w:szCs w:val="16"/>
                <w:lang w:eastAsia="en-GB"/>
              </w:rPr>
              <w:t xml:space="preserve"> (SEK)</w:t>
            </w:r>
          </w:p>
        </w:tc>
      </w:tr>
      <w:tr w:rsidR="0018457D" w:rsidRPr="0018457D" w14:paraId="380A8DD6" w14:textId="77777777" w:rsidTr="0018457D">
        <w:trPr>
          <w:trHeight w:val="903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1FE25C" w14:textId="77777777" w:rsidR="00297F3C" w:rsidRPr="0018457D" w:rsidRDefault="00297F3C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63BD23D" w14:textId="77777777" w:rsidR="00297F3C" w:rsidRPr="0018457D" w:rsidRDefault="00297F3C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4291D197" wp14:editId="6F2255EF">
                  <wp:extent cx="254635" cy="262255"/>
                  <wp:effectExtent l="0" t="0" r="0" b="4445"/>
                  <wp:docPr id="21" name="Picture 21" descr="The best budget holiday destinations of 2015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e best budget holiday destinations of 2015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FD60CD" w14:textId="77777777" w:rsidR="00297F3C" w:rsidRPr="0018457D" w:rsidRDefault="00297F3C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1347A7FD" wp14:editId="3F04599F">
                  <wp:extent cx="254635" cy="262255"/>
                  <wp:effectExtent l="0" t="0" r="0" b="4445"/>
                  <wp:docPr id="20" name="Picture 20" descr="The best budget holiday destinations of 2015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he best budget holiday destinations of 2015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776EDD" w14:textId="77777777" w:rsidR="00297F3C" w:rsidRPr="0018457D" w:rsidRDefault="00297F3C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24EEF1E5" wp14:editId="7DC29C74">
                  <wp:extent cx="254635" cy="262255"/>
                  <wp:effectExtent l="0" t="0" r="0" b="4445"/>
                  <wp:docPr id="19" name="Picture 19" descr="The best budget holiday destinations of 2015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e best budget holiday destinations of 2015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EE4FEAF" w14:textId="77777777" w:rsidR="00297F3C" w:rsidRPr="0018457D" w:rsidRDefault="00297F3C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2DF90C2C" wp14:editId="4654BB8A">
                  <wp:extent cx="254635" cy="262255"/>
                  <wp:effectExtent l="0" t="0" r="0" b="4445"/>
                  <wp:docPr id="2" name="Picture 18" descr="The best budget holiday destinations of 2015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e best budget holiday destinations of 2015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20B56B7" w14:textId="02623FBE" w:rsidR="00297F3C" w:rsidRPr="0018457D" w:rsidRDefault="007D2750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b/>
                <w:bCs/>
                <w:noProof/>
                <w:color w:val="000000"/>
                <w:sz w:val="16"/>
                <w:szCs w:val="16"/>
              </w:rPr>
            </w:pPr>
            <w:r w:rsidRPr="0018457D">
              <w:rPr>
                <w:rFonts w:ascii="Century Gothic" w:eastAsia="Times New Roman" w:hAnsi="Century Gothic" w:cs="Gish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133A07A2" wp14:editId="4E1DE3A4">
                  <wp:extent cx="170784" cy="175895"/>
                  <wp:effectExtent l="0" t="0" r="7620" b="1905"/>
                  <wp:docPr id="4" name="Picture 21" descr="The best budget holiday destinations of 2015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e best budget holiday destinations of 2015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84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57D">
              <w:rPr>
                <w:rFonts w:ascii="Century Gothic" w:eastAsia="Times New Roman" w:hAnsi="Century Gothic" w:cs="Gish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0AA76FD5" wp14:editId="57AADC49">
                  <wp:extent cx="194830" cy="200660"/>
                  <wp:effectExtent l="0" t="0" r="8890" b="2540"/>
                  <wp:docPr id="5" name="Picture 20" descr="The best budget holiday destinations of 2015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he best budget holiday destinations of 2015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57D">
              <w:rPr>
                <w:rFonts w:ascii="Century Gothic" w:eastAsia="Times New Roman" w:hAnsi="Century Gothic" w:cs="Gish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062D28BF" wp14:editId="0337F1A7">
                  <wp:extent cx="170784" cy="175895"/>
                  <wp:effectExtent l="0" t="0" r="7620" b="1905"/>
                  <wp:docPr id="6" name="Picture 19" descr="The best budget holiday destinations of 2015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e best budget holiday destinations of 2015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3" cy="17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57D">
              <w:rPr>
                <w:rFonts w:ascii="Century Gothic" w:eastAsia="Times New Roman" w:hAnsi="Century Gothic" w:cs="Gish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0E3418CB" wp14:editId="4F6AC463">
                  <wp:extent cx="213995" cy="220399"/>
                  <wp:effectExtent l="0" t="0" r="0" b="8255"/>
                  <wp:docPr id="7" name="Picture 18" descr="The best budget holiday destinations of 2015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e best budget holiday destinations of 2015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57D" w:rsidRPr="0018457D" w14:paraId="2F929FAD" w14:textId="77777777" w:rsidTr="0018457D">
        <w:trPr>
          <w:trHeight w:val="746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7F01F31" w14:textId="77777777" w:rsidR="00297F3C" w:rsidRPr="0018457D" w:rsidRDefault="00297F3C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Phnom Penh, Kambodja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E9431D" w14:textId="77777777" w:rsidR="00297F3C" w:rsidRPr="0018457D" w:rsidRDefault="00297F3C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7</w:t>
            </w:r>
            <w:r w:rsidR="00705F60"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,</w:t>
            </w: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CC07EBD" w14:textId="77777777" w:rsidR="00297F3C" w:rsidRPr="0018457D" w:rsidRDefault="00297F3C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7</w:t>
            </w:r>
            <w:r w:rsidR="00705F60"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,</w:t>
            </w: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CACBE9" w14:textId="77777777" w:rsidR="00297F3C" w:rsidRPr="0018457D" w:rsidRDefault="00297F3C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30,50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1FD8CC7" w14:textId="77777777" w:rsidR="00297F3C" w:rsidRPr="0018457D" w:rsidRDefault="00297F3C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155,30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670E6DAE" w14:textId="77777777" w:rsidR="00CD74D5" w:rsidRPr="0018457D" w:rsidRDefault="00705F60" w:rsidP="0018457D">
            <w:pPr>
              <w:spacing w:before="120" w:after="120"/>
              <w:ind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 xml:space="preserve">  201,40</w:t>
            </w:r>
          </w:p>
        </w:tc>
      </w:tr>
      <w:tr w:rsidR="0018457D" w:rsidRPr="0018457D" w14:paraId="615CD394" w14:textId="77777777" w:rsidTr="0018457D">
        <w:trPr>
          <w:trHeight w:val="418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704862B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Lima, Peru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9BDCAF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13,00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6E2733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13,00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E2B2A8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31,20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4ECBCC9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182,70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913381F" w14:textId="77777777" w:rsidR="00EC4062" w:rsidRPr="0018457D" w:rsidRDefault="00EC4062" w:rsidP="0018457D">
            <w:pPr>
              <w:spacing w:before="120" w:after="120"/>
              <w:ind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 xml:space="preserve">  239,90</w:t>
            </w:r>
          </w:p>
        </w:tc>
      </w:tr>
      <w:tr w:rsidR="0018457D" w:rsidRPr="0018457D" w14:paraId="6C0E1927" w14:textId="77777777" w:rsidTr="0018457D">
        <w:trPr>
          <w:trHeight w:val="499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12DB832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Budapest, Ungern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200316E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8,60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C750594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13,00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063D695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46,00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12BE779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177,20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C5BE286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244,80</w:t>
            </w:r>
          </w:p>
        </w:tc>
      </w:tr>
      <w:tr w:rsidR="0018457D" w:rsidRPr="0018457D" w14:paraId="7CEE9A8B" w14:textId="77777777" w:rsidTr="0018457D">
        <w:trPr>
          <w:trHeight w:val="646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9640983" w14:textId="1DCDB903" w:rsidR="007D2750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 xml:space="preserve">Colombo, </w:t>
            </w:r>
            <w:r w:rsidR="007D2750"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73E7CB5A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Sri Lanka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E7121FA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2,70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531250C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10,40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9672428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14,50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4E31AD4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223,70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1788FA14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251,30</w:t>
            </w:r>
          </w:p>
        </w:tc>
      </w:tr>
      <w:tr w:rsidR="0018457D" w:rsidRPr="0018457D" w14:paraId="1CAF8699" w14:textId="77777777" w:rsidTr="0018457D">
        <w:trPr>
          <w:trHeight w:val="503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8ABB90F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Porto, Portugal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EE76A50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0,80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E64E30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14,20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4525A15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56,90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656BEE1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186,50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8E5A31D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255,40</w:t>
            </w:r>
          </w:p>
        </w:tc>
      </w:tr>
      <w:tr w:rsidR="0018457D" w:rsidRPr="0018457D" w14:paraId="3ACEA272" w14:textId="77777777" w:rsidTr="0018457D">
        <w:trPr>
          <w:trHeight w:val="483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4CB6730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Oaxaca, Mexico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A425A7A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0,60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E95E372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11,80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7436030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47,40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ECDC7C4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289,40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77551C5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349,20</w:t>
            </w:r>
          </w:p>
        </w:tc>
      </w:tr>
      <w:tr w:rsidR="0018457D" w:rsidRPr="0018457D" w14:paraId="27B0C500" w14:textId="77777777" w:rsidTr="0018457D">
        <w:trPr>
          <w:trHeight w:val="477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43ACBE1" w14:textId="3648E611" w:rsidR="00EC4062" w:rsidRPr="0018457D" w:rsidRDefault="007D2750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Kapstaden</w:t>
            </w:r>
            <w:r w:rsidR="00EC4062"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, Sydafrika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EAC2FC1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6,90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EB10815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13,20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88FE8F7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51,90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3E935AE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341,30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44BD27E8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413,30</w:t>
            </w:r>
          </w:p>
        </w:tc>
      </w:tr>
      <w:tr w:rsidR="0018457D" w:rsidRPr="0018457D" w14:paraId="12EF6775" w14:textId="77777777" w:rsidTr="0018457D">
        <w:trPr>
          <w:trHeight w:val="458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382630C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Izmir, Turkiet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C1E9939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8,70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CE9260E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27,50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765B4C9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36,00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73D56AB8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343,00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D6BFDAB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415,20</w:t>
            </w:r>
          </w:p>
        </w:tc>
      </w:tr>
      <w:tr w:rsidR="0018457D" w:rsidRPr="0018457D" w14:paraId="3FC9BCF9" w14:textId="77777777" w:rsidTr="0018457D">
        <w:trPr>
          <w:trHeight w:val="481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560C149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Tunis, Tunisien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BE3AF76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2,10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18CF2693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9,90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E078DAC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24,90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62D2E922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397,50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50469B89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434,40</w:t>
            </w:r>
          </w:p>
        </w:tc>
      </w:tr>
      <w:tr w:rsidR="0018457D" w:rsidRPr="0018457D" w14:paraId="7E164283" w14:textId="77777777" w:rsidTr="0018457D">
        <w:trPr>
          <w:trHeight w:val="474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9636D01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Tbilisi, Georgien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659A352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2,50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7DB401B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8,30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13711F2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51,30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8B824FD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433,80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2B6FE0F8" w14:textId="77777777" w:rsidR="00EC4062" w:rsidRPr="0018457D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</w:pPr>
            <w:r w:rsidRPr="0018457D">
              <w:rPr>
                <w:rFonts w:ascii="Century Gothic" w:eastAsia="Times New Roman" w:hAnsi="Century Gothic" w:cs="Gisha"/>
                <w:color w:val="000000"/>
                <w:sz w:val="16"/>
                <w:szCs w:val="16"/>
                <w:lang w:eastAsia="en-GB"/>
              </w:rPr>
              <w:t>495,90</w:t>
            </w:r>
          </w:p>
        </w:tc>
      </w:tr>
      <w:tr w:rsidR="0018457D" w:rsidRPr="0018457D" w14:paraId="1A667DB8" w14:textId="77777777" w:rsidTr="0018457D">
        <w:trPr>
          <w:trHeight w:val="468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02932D" w14:textId="77777777" w:rsidR="00EC4062" w:rsidRPr="00220EB3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</w:pPr>
            <w:bookmarkStart w:id="0" w:name="_GoBack" w:colFirst="0" w:colLast="5"/>
            <w:r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New Orleans, USA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D4FB4A" w14:textId="77777777" w:rsidR="00EC4062" w:rsidRPr="00220EB3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</w:pPr>
            <w:r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11,40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B92CD6" w14:textId="77777777" w:rsidR="00EC4062" w:rsidRPr="00220EB3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</w:pPr>
            <w:r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26,70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F9D765" w14:textId="77777777" w:rsidR="00EC4062" w:rsidRPr="00220EB3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</w:pPr>
            <w:r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106,60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C92CBD" w14:textId="77777777" w:rsidR="00EC4062" w:rsidRPr="00220EB3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</w:pPr>
            <w:r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523,90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7AC6097A" w14:textId="77777777" w:rsidR="00EC4062" w:rsidRPr="00220EB3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</w:pPr>
            <w:r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665,60</w:t>
            </w:r>
          </w:p>
        </w:tc>
      </w:tr>
      <w:tr w:rsidR="0018457D" w:rsidRPr="0018457D" w14:paraId="1A14AC12" w14:textId="77777777" w:rsidTr="0018457D">
        <w:trPr>
          <w:trHeight w:val="490"/>
          <w:tblCellSpacing w:w="15" w:type="dxa"/>
        </w:trPr>
        <w:tc>
          <w:tcPr>
            <w:tcW w:w="10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F1B1B7" w14:textId="77777777" w:rsidR="00EC4062" w:rsidRPr="00220EB3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</w:pPr>
            <w:r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Busan, Sydkorea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3BAA53" w14:textId="25AEE9D4" w:rsidR="00EC4062" w:rsidRPr="00220EB3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</w:pPr>
            <w:r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14,40</w:t>
            </w:r>
          </w:p>
        </w:tc>
        <w:tc>
          <w:tcPr>
            <w:tcW w:w="75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01FAC2" w14:textId="77777777" w:rsidR="00EC4062" w:rsidRPr="00220EB3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</w:pPr>
            <w:r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20,60</w:t>
            </w:r>
          </w:p>
        </w:tc>
        <w:tc>
          <w:tcPr>
            <w:tcW w:w="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5FDBEB0" w14:textId="77777777" w:rsidR="00EC4062" w:rsidRPr="00220EB3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</w:pPr>
            <w:r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48,00</w:t>
            </w:r>
          </w:p>
        </w:tc>
        <w:tc>
          <w:tcPr>
            <w:tcW w:w="83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22895A74" w14:textId="1E02101C" w:rsidR="00EC4062" w:rsidRPr="00220EB3" w:rsidRDefault="0018457D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</w:pPr>
            <w:proofErr w:type="gramStart"/>
            <w:r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E</w:t>
            </w:r>
            <w:r w:rsidR="00EC4062"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j</w:t>
            </w:r>
            <w:proofErr w:type="gramEnd"/>
            <w:r w:rsidR="00EC4062"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 xml:space="preserve"> tillgängligt</w:t>
            </w:r>
          </w:p>
        </w:tc>
        <w:tc>
          <w:tcPr>
            <w:tcW w:w="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</w:tcPr>
          <w:p w14:paraId="0A5FD901" w14:textId="77777777" w:rsidR="00EC4062" w:rsidRPr="00220EB3" w:rsidRDefault="00EC4062" w:rsidP="0018457D">
            <w:pPr>
              <w:spacing w:before="120" w:after="120"/>
              <w:ind w:left="120" w:right="120"/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</w:pPr>
            <w:r w:rsidRPr="00220EB3">
              <w:rPr>
                <w:rFonts w:ascii="Century Gothic" w:eastAsia="Times New Roman" w:hAnsi="Century Gothic" w:cs="Gisha"/>
                <w:sz w:val="16"/>
                <w:szCs w:val="16"/>
                <w:lang w:eastAsia="en-GB"/>
              </w:rPr>
              <w:t>83,00</w:t>
            </w:r>
          </w:p>
        </w:tc>
      </w:tr>
      <w:bookmarkEnd w:id="0"/>
    </w:tbl>
    <w:p w14:paraId="2619E490" w14:textId="77777777" w:rsidR="0001617B" w:rsidRPr="00034AB4" w:rsidRDefault="0001617B">
      <w:pPr>
        <w:rPr>
          <w:rFonts w:ascii="Century Gothic" w:hAnsi="Century Gothic"/>
        </w:rPr>
      </w:pPr>
    </w:p>
    <w:p w14:paraId="6FC02D45" w14:textId="71CC295E" w:rsidR="0018457D" w:rsidRPr="00617153" w:rsidRDefault="0018457D" w:rsidP="00034AB4">
      <w:pPr>
        <w:widowControl w:val="0"/>
        <w:adjustRightInd w:val="0"/>
        <w:rPr>
          <w:rFonts w:ascii="Century Gothic" w:hAnsi="Century Gothic" w:cs="Arial"/>
          <w:b/>
          <w:sz w:val="22"/>
          <w:szCs w:val="22"/>
        </w:rPr>
      </w:pPr>
      <w:r w:rsidRPr="00617153">
        <w:rPr>
          <w:rFonts w:ascii="Century Gothic" w:hAnsi="Century Gothic" w:cs="Arial"/>
          <w:b/>
          <w:sz w:val="22"/>
          <w:szCs w:val="22"/>
        </w:rPr>
        <w:t>Om budgetlistan</w:t>
      </w:r>
      <w:r w:rsidRPr="00617153">
        <w:rPr>
          <w:rFonts w:ascii="Century Gothic" w:hAnsi="Century Gothic" w:cs="Arial"/>
          <w:b/>
          <w:sz w:val="22"/>
          <w:szCs w:val="22"/>
        </w:rPr>
        <w:br/>
      </w:r>
      <w:r w:rsidR="002B5DBC" w:rsidRPr="00617153">
        <w:rPr>
          <w:rFonts w:ascii="Century Gothic" w:hAnsi="Century Gothic" w:cs="Arial"/>
          <w:sz w:val="22"/>
          <w:szCs w:val="22"/>
        </w:rPr>
        <w:t xml:space="preserve">Priserna har hämtats i december 2014, från konsumentdatabasen </w:t>
      </w:r>
      <w:proofErr w:type="spellStart"/>
      <w:r w:rsidR="002B5DBC" w:rsidRPr="00617153">
        <w:rPr>
          <w:rFonts w:ascii="Century Gothic" w:hAnsi="Century Gothic" w:cs="Arial"/>
          <w:sz w:val="22"/>
          <w:szCs w:val="22"/>
        </w:rPr>
        <w:t>Numbeo</w:t>
      </w:r>
      <w:proofErr w:type="spellEnd"/>
      <w:r w:rsidR="002B5DBC" w:rsidRPr="00617153">
        <w:rPr>
          <w:rFonts w:ascii="Century Gothic" w:hAnsi="Century Gothic" w:cs="Arial"/>
          <w:sz w:val="22"/>
          <w:szCs w:val="22"/>
        </w:rPr>
        <w:t xml:space="preserve"> som samlar in data om städer och länder över hela världen.</w:t>
      </w:r>
      <w:r w:rsidR="002B5DBC" w:rsidRPr="00617153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1C5E6FD1" w14:textId="77777777" w:rsidR="0018457D" w:rsidRPr="00617153" w:rsidRDefault="0018457D" w:rsidP="00034AB4">
      <w:pPr>
        <w:widowControl w:val="0"/>
        <w:adjustRightInd w:val="0"/>
        <w:rPr>
          <w:rFonts w:ascii="Century Gothic" w:hAnsi="Century Gothic" w:cs="Arial"/>
          <w:sz w:val="22"/>
          <w:szCs w:val="22"/>
        </w:rPr>
      </w:pPr>
    </w:p>
    <w:p w14:paraId="365A064C" w14:textId="77777777" w:rsidR="00034AB4" w:rsidRPr="00617153" w:rsidRDefault="00034AB4" w:rsidP="00034AB4">
      <w:pPr>
        <w:rPr>
          <w:rFonts w:ascii="Century Gothic" w:hAnsi="Century Gothic" w:cs="Calibri"/>
          <w:sz w:val="22"/>
          <w:szCs w:val="22"/>
          <w:lang w:eastAsia="en-US"/>
        </w:rPr>
      </w:pPr>
      <w:r w:rsidRPr="00617153">
        <w:rPr>
          <w:rFonts w:ascii="Century Gothic" w:hAnsi="Century Gothic" w:cs="Calibri"/>
          <w:b/>
          <w:sz w:val="22"/>
          <w:szCs w:val="22"/>
          <w:lang w:eastAsia="en-US"/>
        </w:rPr>
        <w:t>För mer information, vänligen kontakta;</w:t>
      </w:r>
      <w:r w:rsidRPr="00617153">
        <w:rPr>
          <w:rFonts w:ascii="Century Gothic" w:hAnsi="Century Gothic" w:cs="Calibri"/>
          <w:sz w:val="22"/>
          <w:szCs w:val="22"/>
          <w:lang w:eastAsia="en-US"/>
        </w:rPr>
        <w:br/>
        <w:t xml:space="preserve">Angelica Larsson, presskontakt momondo Sverige </w:t>
      </w:r>
      <w:r w:rsidRPr="00617153">
        <w:rPr>
          <w:rFonts w:ascii="Century Gothic" w:hAnsi="Century Gothic" w:cs="Calibri"/>
          <w:sz w:val="22"/>
          <w:szCs w:val="22"/>
          <w:lang w:eastAsia="en-US"/>
        </w:rPr>
        <w:br/>
        <w:t xml:space="preserve">E-post: </w:t>
      </w:r>
      <w:hyperlink r:id="rId18" w:history="1">
        <w:r w:rsidRPr="00617153">
          <w:rPr>
            <w:rStyle w:val="Hyperlnk"/>
            <w:rFonts w:ascii="Century Gothic" w:hAnsi="Century Gothic" w:cs="Calibri"/>
            <w:sz w:val="22"/>
            <w:szCs w:val="22"/>
            <w:lang w:eastAsia="en-US"/>
          </w:rPr>
          <w:t>angelica@wenderfalck.com</w:t>
        </w:r>
      </w:hyperlink>
      <w:r w:rsidRPr="00617153">
        <w:rPr>
          <w:rFonts w:ascii="Century Gothic" w:hAnsi="Century Gothic" w:cs="Calibri"/>
          <w:sz w:val="22"/>
          <w:szCs w:val="22"/>
          <w:lang w:eastAsia="en-US"/>
        </w:rPr>
        <w:t xml:space="preserve"> </w:t>
      </w:r>
      <w:r w:rsidRPr="00617153">
        <w:rPr>
          <w:rFonts w:ascii="Century Gothic" w:hAnsi="Century Gothic" w:cs="Calibri"/>
          <w:sz w:val="22"/>
          <w:szCs w:val="22"/>
          <w:lang w:eastAsia="en-US"/>
        </w:rPr>
        <w:br/>
        <w:t>Telefon: 070-580 39 31</w:t>
      </w:r>
    </w:p>
    <w:p w14:paraId="36B06C93" w14:textId="77777777" w:rsidR="0001617B" w:rsidRPr="00034AB4" w:rsidRDefault="0001617B">
      <w:pPr>
        <w:rPr>
          <w:rFonts w:ascii="Century Gothic" w:hAnsi="Century Gothic"/>
        </w:rPr>
      </w:pPr>
    </w:p>
    <w:sectPr w:rsidR="0001617B" w:rsidRPr="00034AB4" w:rsidSect="00BE67DD">
      <w:headerReference w:type="default" r:id="rId19"/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F0138" w15:done="0"/>
  <w15:commentEx w15:paraId="37F7B02C" w15:done="0"/>
  <w15:commentEx w15:paraId="342E6C2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0EB5E" w14:textId="77777777" w:rsidR="0044172E" w:rsidRDefault="0044172E" w:rsidP="00034AB4">
      <w:r>
        <w:separator/>
      </w:r>
    </w:p>
  </w:endnote>
  <w:endnote w:type="continuationSeparator" w:id="0">
    <w:p w14:paraId="5B957521" w14:textId="77777777" w:rsidR="0044172E" w:rsidRDefault="0044172E" w:rsidP="0003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60A6" w14:textId="77777777" w:rsidR="0044172E" w:rsidRPr="00343B4E" w:rsidRDefault="0044172E" w:rsidP="00034AB4">
    <w:pPr>
      <w:rPr>
        <w:rFonts w:ascii="Century Gothic" w:hAnsi="Century Gothic" w:cs="Open Sans Light"/>
        <w:sz w:val="16"/>
        <w:szCs w:val="16"/>
      </w:rPr>
    </w:pPr>
    <w:r w:rsidRPr="00343B4E">
      <w:rPr>
        <w:rFonts w:ascii="Century Gothic" w:hAnsi="Century Gothic" w:cs="Open Sans Light"/>
        <w:b/>
        <w:bCs/>
        <w:sz w:val="16"/>
        <w:szCs w:val="16"/>
      </w:rPr>
      <w:t>Om momondo</w:t>
    </w:r>
  </w:p>
  <w:p w14:paraId="6F0070EE" w14:textId="77777777" w:rsidR="0044172E" w:rsidRPr="00034AB4" w:rsidRDefault="00220EB3" w:rsidP="00034AB4">
    <w:pPr>
      <w:jc w:val="both"/>
      <w:rPr>
        <w:rFonts w:ascii="Century Gothic" w:hAnsi="Century Gothic" w:cs="Open Sans Light"/>
        <w:sz w:val="16"/>
        <w:szCs w:val="16"/>
      </w:rPr>
    </w:pPr>
    <w:hyperlink r:id="rId1" w:history="1">
      <w:r w:rsidR="0044172E" w:rsidRPr="00D32DBE">
        <w:rPr>
          <w:rStyle w:val="Hyperlnk"/>
          <w:rFonts w:ascii="Century Gothic" w:hAnsi="Century Gothic" w:cs="Open Sans Light"/>
          <w:sz w:val="16"/>
          <w:szCs w:val="16"/>
        </w:rPr>
        <w:t>momondo.se</w:t>
      </w:r>
    </w:hyperlink>
    <w:r w:rsidR="0044172E" w:rsidRPr="00D32DBE">
      <w:rPr>
        <w:rFonts w:ascii="Century Gothic" w:hAnsi="Century Gothic" w:cs="Open Sans Light"/>
        <w:sz w:val="16"/>
        <w:szCs w:val="16"/>
      </w:rPr>
      <w:t xml:space="preserve"> är en gratis, oberoende och global resesöksajt som jämför miljontals priser på flyg, hotell och resor. </w:t>
    </w:r>
    <w:r w:rsidR="0044172E" w:rsidRPr="00D32DBE">
      <w:rPr>
        <w:rFonts w:ascii="Century Gothic" w:hAnsi="Century Gothic" w:cs="Open Sans Light"/>
        <w:b/>
        <w:bCs/>
        <w:sz w:val="16"/>
        <w:szCs w:val="16"/>
      </w:rPr>
      <w:t xml:space="preserve">momondo </w:t>
    </w:r>
    <w:r w:rsidR="0044172E" w:rsidRPr="00D32DBE">
      <w:rPr>
        <w:rFonts w:ascii="Century Gothic" w:hAnsi="Century Gothic" w:cs="Open Sans Light"/>
        <w:sz w:val="16"/>
        <w:szCs w:val="16"/>
      </w:rPr>
      <w:t xml:space="preserve">har fått flera utmärkelser och är rekommenderade av ledande internationell media som </w:t>
    </w:r>
    <w:r w:rsidR="0044172E" w:rsidRPr="00D32DBE">
      <w:rPr>
        <w:rFonts w:ascii="Century Gothic" w:hAnsi="Century Gothic" w:cs="Open Sans Light"/>
        <w:i/>
        <w:iCs/>
        <w:sz w:val="16"/>
        <w:szCs w:val="16"/>
      </w:rPr>
      <w:t xml:space="preserve">CNN, The New York Times och The Daily Telegraph. </w:t>
    </w:r>
    <w:r w:rsidR="0044172E" w:rsidRPr="00D32DBE">
      <w:rPr>
        <w:rFonts w:ascii="Century Gothic" w:hAnsi="Century Gothic" w:cs="Open Sans Light"/>
        <w:b/>
        <w:bCs/>
        <w:sz w:val="16"/>
        <w:szCs w:val="16"/>
      </w:rPr>
      <w:t xml:space="preserve">momondo </w:t>
    </w:r>
    <w:r w:rsidR="0044172E" w:rsidRPr="00D32DBE">
      <w:rPr>
        <w:rFonts w:ascii="Century Gothic" w:hAnsi="Century Gothic" w:cs="Open Sans Light"/>
        <w:sz w:val="16"/>
        <w:szCs w:val="16"/>
      </w:rPr>
      <w:t xml:space="preserve">har sitt huvudkontor i Köpenhamn och finns på över 29 marknader. momondo’s mobiltjänster finns även tillgängliga gratis på i </w:t>
    </w:r>
    <w:hyperlink r:id="rId2" w:history="1">
      <w:r w:rsidR="0044172E" w:rsidRPr="00D32DBE">
        <w:rPr>
          <w:rStyle w:val="Hyperlnk"/>
          <w:rFonts w:ascii="Century Gothic" w:hAnsi="Century Gothic" w:cs="Open Sans Light"/>
          <w:sz w:val="16"/>
          <w:szCs w:val="16"/>
        </w:rPr>
        <w:t>iPhone</w:t>
      </w:r>
    </w:hyperlink>
    <w:r w:rsidR="0044172E" w:rsidRPr="00D32DBE">
      <w:rPr>
        <w:rFonts w:ascii="Century Gothic" w:hAnsi="Century Gothic" w:cs="Open Sans Light"/>
        <w:sz w:val="16"/>
        <w:szCs w:val="16"/>
      </w:rPr>
      <w:t xml:space="preserve">, </w:t>
    </w:r>
    <w:hyperlink r:id="rId3" w:history="1">
      <w:r w:rsidR="0044172E" w:rsidRPr="00D32DBE">
        <w:rPr>
          <w:rStyle w:val="Hyperlnk"/>
          <w:rFonts w:ascii="Century Gothic" w:hAnsi="Century Gothic" w:cs="Open Sans Light"/>
          <w:sz w:val="16"/>
          <w:szCs w:val="16"/>
        </w:rPr>
        <w:t>Android</w:t>
      </w:r>
    </w:hyperlink>
    <w:r w:rsidR="0044172E" w:rsidRPr="00343B4E">
      <w:rPr>
        <w:rFonts w:ascii="Century Gothic" w:hAnsi="Century Gothic" w:cs="Open Sans Light"/>
        <w:sz w:val="16"/>
        <w:szCs w:val="16"/>
      </w:rPr>
      <w:t xml:space="preserve"> </w:t>
    </w:r>
    <w:r w:rsidR="0044172E" w:rsidRPr="00D32DBE">
      <w:rPr>
        <w:rFonts w:ascii="Century Gothic" w:hAnsi="Century Gothic" w:cs="Open Sans Light"/>
        <w:sz w:val="16"/>
        <w:szCs w:val="16"/>
      </w:rPr>
      <w:t xml:space="preserve">och </w:t>
    </w:r>
    <w:hyperlink r:id="rId4" w:history="1">
      <w:r w:rsidR="0044172E" w:rsidRPr="00D32DBE">
        <w:rPr>
          <w:rStyle w:val="Hyperlnk"/>
          <w:rFonts w:ascii="Century Gothic" w:hAnsi="Century Gothic" w:cs="Open Sans Light"/>
          <w:sz w:val="16"/>
          <w:szCs w:val="16"/>
        </w:rPr>
        <w:t>Blackberry</w:t>
      </w:r>
    </w:hyperlink>
    <w:r w:rsidR="0044172E" w:rsidRPr="00D32DBE">
      <w:rPr>
        <w:rFonts w:ascii="Century Gothic" w:hAnsi="Century Gothic" w:cs="Open Sans 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A3775" w14:textId="77777777" w:rsidR="0044172E" w:rsidRDefault="0044172E" w:rsidP="00034AB4">
      <w:r>
        <w:separator/>
      </w:r>
    </w:p>
  </w:footnote>
  <w:footnote w:type="continuationSeparator" w:id="0">
    <w:p w14:paraId="622509C0" w14:textId="77777777" w:rsidR="0044172E" w:rsidRDefault="0044172E" w:rsidP="00034A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5B27" w14:textId="4616AA3D" w:rsidR="0044172E" w:rsidRDefault="0044172E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27D6E1" wp14:editId="0F6B34D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00200" cy="368300"/>
          <wp:effectExtent l="0" t="0" r="0" b="12700"/>
          <wp:wrapTight wrapText="bothSides">
            <wp:wrapPolygon edited="0">
              <wp:start x="0" y="0"/>
              <wp:lineTo x="0" y="20855"/>
              <wp:lineTo x="21257" y="20855"/>
              <wp:lineTo x="21257" y="0"/>
              <wp:lineTo x="0" y="0"/>
            </wp:wrapPolygon>
          </wp:wrapTight>
          <wp:docPr id="1" name="Bild 1" descr="Skärmavbild 2014-10-22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̈rmavbild 2014-10-22 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Century Gothic" w:hAnsi="Century Gothic"/>
        <w:sz w:val="18"/>
        <w:szCs w:val="18"/>
        <w:lang w:val="da-DK"/>
      </w:rPr>
      <w:t xml:space="preserve">Pressmeddelande den </w:t>
    </w:r>
    <w:r w:rsidR="00220EB3">
      <w:rPr>
        <w:rFonts w:ascii="Century Gothic" w:hAnsi="Century Gothic"/>
        <w:sz w:val="18"/>
        <w:szCs w:val="18"/>
        <w:lang w:val="da-DK"/>
      </w:rPr>
      <w:t>19</w:t>
    </w:r>
    <w:r>
      <w:rPr>
        <w:rFonts w:ascii="Century Gothic" w:hAnsi="Century Gothic"/>
        <w:sz w:val="18"/>
        <w:szCs w:val="18"/>
        <w:lang w:val="da-DK"/>
      </w:rPr>
      <w:t xml:space="preserve"> januari 2015</w:t>
    </w:r>
    <w:r w:rsidRPr="00DC6505">
      <w:rPr>
        <w:rFonts w:ascii="Century Gothic" w:hAnsi="Century Gothic"/>
        <w:sz w:val="18"/>
        <w:szCs w:val="18"/>
        <w:lang w:val="da-DK"/>
      </w:rPr>
      <w:br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Faigh Rydell">
    <w15:presenceInfo w15:providerId="None" w15:userId="Anne Faigh Ry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7B"/>
    <w:rsid w:val="0001617B"/>
    <w:rsid w:val="00034AB4"/>
    <w:rsid w:val="00073E54"/>
    <w:rsid w:val="00157D9E"/>
    <w:rsid w:val="0018457D"/>
    <w:rsid w:val="00220EB3"/>
    <w:rsid w:val="00297F3C"/>
    <w:rsid w:val="002B5DBC"/>
    <w:rsid w:val="00386B70"/>
    <w:rsid w:val="00404AF4"/>
    <w:rsid w:val="00412F35"/>
    <w:rsid w:val="004315EB"/>
    <w:rsid w:val="0044172E"/>
    <w:rsid w:val="004B4763"/>
    <w:rsid w:val="00610F5D"/>
    <w:rsid w:val="00617153"/>
    <w:rsid w:val="00623AC3"/>
    <w:rsid w:val="006929F4"/>
    <w:rsid w:val="006969A1"/>
    <w:rsid w:val="006A1E96"/>
    <w:rsid w:val="00705F60"/>
    <w:rsid w:val="0076686C"/>
    <w:rsid w:val="007A5C19"/>
    <w:rsid w:val="007D2750"/>
    <w:rsid w:val="00904AF8"/>
    <w:rsid w:val="009B4308"/>
    <w:rsid w:val="00A04C79"/>
    <w:rsid w:val="00A70626"/>
    <w:rsid w:val="00A71060"/>
    <w:rsid w:val="00A859A4"/>
    <w:rsid w:val="00AC6D9E"/>
    <w:rsid w:val="00AF3530"/>
    <w:rsid w:val="00B3764B"/>
    <w:rsid w:val="00BE67DD"/>
    <w:rsid w:val="00C4299D"/>
    <w:rsid w:val="00CD74D5"/>
    <w:rsid w:val="00DF30AA"/>
    <w:rsid w:val="00EC4062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0A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1617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1617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617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34A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34AB4"/>
  </w:style>
  <w:style w:type="paragraph" w:styleId="Sidfot">
    <w:name w:val="footer"/>
    <w:basedOn w:val="Normal"/>
    <w:link w:val="SidfotChar"/>
    <w:uiPriority w:val="99"/>
    <w:unhideWhenUsed/>
    <w:rsid w:val="00034A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34AB4"/>
  </w:style>
  <w:style w:type="character" w:styleId="Kommentarsreferens">
    <w:name w:val="annotation reference"/>
    <w:basedOn w:val="Standardstycketypsnitt"/>
    <w:uiPriority w:val="99"/>
    <w:semiHidden/>
    <w:unhideWhenUsed/>
    <w:rsid w:val="00431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15EB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4315E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1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15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1617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1617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617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34A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34AB4"/>
  </w:style>
  <w:style w:type="paragraph" w:styleId="Sidfot">
    <w:name w:val="footer"/>
    <w:basedOn w:val="Normal"/>
    <w:link w:val="SidfotChar"/>
    <w:uiPriority w:val="99"/>
    <w:unhideWhenUsed/>
    <w:rsid w:val="00034A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34AB4"/>
  </w:style>
  <w:style w:type="character" w:styleId="Kommentarsreferens">
    <w:name w:val="annotation reference"/>
    <w:basedOn w:val="Standardstycketypsnitt"/>
    <w:uiPriority w:val="99"/>
    <w:semiHidden/>
    <w:unhideWhenUsed/>
    <w:rsid w:val="00431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15EB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4315E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1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1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33" Type="http://schemas.microsoft.com/office/2011/relationships/commentsExtended" Target="commentsExtended.xml"/><Relationship Id="rId32" Type="http://schemas.microsoft.com/office/2011/relationships/people" Target="people.xml"/><Relationship Id="rId10" Type="http://schemas.openxmlformats.org/officeDocument/2006/relationships/hyperlink" Target="http://www.momondo.se/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yperlink" Target="mailto:angelica@wenderfalck.com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lay.google.com/store/apps/details?id=com.momondo.flightsearch&amp;hl=sv-se" TargetMode="External"/><Relationship Id="rId4" Type="http://schemas.openxmlformats.org/officeDocument/2006/relationships/hyperlink" Target="http://appworld.blackberry.com/webstore/content/27815442/?countrycode=ENG" TargetMode="External"/><Relationship Id="rId1" Type="http://schemas.openxmlformats.org/officeDocument/2006/relationships/hyperlink" Target="http://www.momondo.se" TargetMode="External"/><Relationship Id="rId2" Type="http://schemas.openxmlformats.org/officeDocument/2006/relationships/hyperlink" Target="https://itunes.apple.com/se/app/momondo-billiga-flygbiljetter/id436736538?m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213CFAD34E74999E7A35A19A5D4C0" ma:contentTypeVersion="0" ma:contentTypeDescription="Create a new document." ma:contentTypeScope="" ma:versionID="514f0798bf0e64036a4611ef25f45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0b77d4d40ca3ff3371cfbcfa8542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794FF-0B92-4EE8-A4E7-83F3823D5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BCF19-46FC-4197-9F3E-B3C4729E8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5B2E6-0AB7-4A5E-B185-1F04815A4335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5261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2</cp:revision>
  <dcterms:created xsi:type="dcterms:W3CDTF">2015-01-13T16:38:00Z</dcterms:created>
  <dcterms:modified xsi:type="dcterms:W3CDTF">2015-01-13T16:38:00Z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0x01010052D213CFAD34E74999E7A35A19A5D4C0</vt:lpwstr>
  </property>
</Properties>
</file>